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9A7BC" w14:textId="312CE1D1" w:rsidR="00DE0792" w:rsidRPr="00A01C15" w:rsidRDefault="00DE0792" w:rsidP="00A01C15">
      <w:pPr>
        <w:pStyle w:val="HeadingSections"/>
        <w:spacing w:after="240"/>
        <w:jc w:val="both"/>
        <w:rPr>
          <w:rFonts w:ascii="Times New Roman" w:hAnsi="Times New Roman"/>
          <w:sz w:val="24"/>
          <w:szCs w:val="24"/>
        </w:rPr>
      </w:pPr>
      <w:bookmarkStart w:id="0" w:name="_Toc265495742"/>
      <w:bookmarkStart w:id="1" w:name="_Toc474333912"/>
      <w:bookmarkStart w:id="2" w:name="_Toc474334081"/>
      <w:bookmarkStart w:id="3" w:name="_Toc494209476"/>
      <w:bookmarkStart w:id="4" w:name="_Toc223365399"/>
      <w:bookmarkStart w:id="5" w:name="OLE_LINK11"/>
      <w:bookmarkStart w:id="6" w:name="OLE_LINK10"/>
      <w:r w:rsidRPr="00A01C15">
        <w:rPr>
          <w:rFonts w:ascii="Times New Roman" w:hAnsi="Times New Roman"/>
          <w:sz w:val="24"/>
          <w:szCs w:val="24"/>
        </w:rPr>
        <w:t>Terms of Reference</w:t>
      </w:r>
      <w:bookmarkEnd w:id="0"/>
      <w:bookmarkEnd w:id="1"/>
      <w:bookmarkEnd w:id="2"/>
      <w:bookmarkEnd w:id="3"/>
      <w:bookmarkEnd w:id="4"/>
    </w:p>
    <w:p w14:paraId="39733730" w14:textId="77777777" w:rsidR="00A01C15" w:rsidRPr="00A01C15" w:rsidRDefault="00A01C15" w:rsidP="00A01C15">
      <w:pPr>
        <w:pStyle w:val="NormalWeb"/>
        <w:spacing w:before="0" w:beforeAutospacing="0" w:after="0" w:afterAutospacing="0" w:line="360" w:lineRule="auto"/>
        <w:jc w:val="both"/>
        <w:rPr>
          <w:color w:val="000000" w:themeColor="text1"/>
        </w:rPr>
      </w:pPr>
      <w:r w:rsidRPr="00A01C15">
        <w:rPr>
          <w:b/>
          <w:bCs/>
          <w:color w:val="000000" w:themeColor="text1"/>
        </w:rPr>
        <w:t>Country:</w:t>
      </w:r>
      <w:r w:rsidRPr="00A01C15">
        <w:rPr>
          <w:color w:val="000000" w:themeColor="text1"/>
        </w:rPr>
        <w:t xml:space="preserve"> Bhutan</w:t>
      </w:r>
    </w:p>
    <w:p w14:paraId="1418F69F" w14:textId="77777777" w:rsidR="00A01C15" w:rsidRPr="00A01C15" w:rsidRDefault="00A01C15" w:rsidP="00A01C15">
      <w:pPr>
        <w:pStyle w:val="NormalWeb"/>
        <w:spacing w:before="0" w:beforeAutospacing="0" w:after="0" w:afterAutospacing="0" w:line="360" w:lineRule="auto"/>
        <w:jc w:val="both"/>
        <w:rPr>
          <w:color w:val="000000" w:themeColor="text1"/>
        </w:rPr>
      </w:pPr>
      <w:r w:rsidRPr="00A01C15">
        <w:rPr>
          <w:b/>
          <w:bCs/>
          <w:color w:val="000000" w:themeColor="text1"/>
        </w:rPr>
        <w:t>Name of Project:</w:t>
      </w:r>
      <w:r w:rsidRPr="00A01C15">
        <w:rPr>
          <w:color w:val="000000" w:themeColor="text1"/>
        </w:rPr>
        <w:t xml:space="preserve"> Accelerating Transport and Trade Connectivity in Eastern South Asia (Access) – Bhutan Project</w:t>
      </w:r>
    </w:p>
    <w:p w14:paraId="1CB9DE7F" w14:textId="77777777" w:rsidR="00A01C15" w:rsidRPr="00A01C15" w:rsidRDefault="00A01C15" w:rsidP="00A01C15">
      <w:pPr>
        <w:pStyle w:val="NormalWeb"/>
        <w:spacing w:before="0" w:beforeAutospacing="0" w:after="0" w:afterAutospacing="0" w:line="360" w:lineRule="auto"/>
        <w:jc w:val="both"/>
        <w:rPr>
          <w:color w:val="000000" w:themeColor="text1"/>
        </w:rPr>
      </w:pPr>
      <w:r w:rsidRPr="00A01C15">
        <w:rPr>
          <w:b/>
          <w:bCs/>
          <w:color w:val="000000" w:themeColor="text1"/>
        </w:rPr>
        <w:t>Loan No/Credit No/ Grant No:</w:t>
      </w:r>
      <w:r w:rsidRPr="00A01C15">
        <w:rPr>
          <w:color w:val="000000" w:themeColor="text1"/>
        </w:rPr>
        <w:t xml:space="preserve"> </w:t>
      </w:r>
      <w:r w:rsidRPr="00A01C15">
        <w:rPr>
          <w:b/>
          <w:bCs/>
          <w:color w:val="000000" w:themeColor="text1"/>
        </w:rPr>
        <w:t>IDA 77560 (Credit)/IDAE4310 (grant)</w:t>
      </w:r>
    </w:p>
    <w:p w14:paraId="20640DD4" w14:textId="67263604" w:rsidR="00A01C15" w:rsidRPr="00A01C15" w:rsidRDefault="00A01C15" w:rsidP="00A01C15">
      <w:pPr>
        <w:pStyle w:val="Heading1"/>
        <w:spacing w:before="0" w:after="0" w:line="360" w:lineRule="auto"/>
        <w:jc w:val="both"/>
        <w:rPr>
          <w:rFonts w:ascii="Times New Roman" w:hAnsi="Times New Roman" w:cs="Times New Roman"/>
          <w:b/>
          <w:bCs/>
          <w:color w:val="000000" w:themeColor="text1"/>
          <w:sz w:val="24"/>
          <w:szCs w:val="24"/>
          <w:shd w:val="clear" w:color="auto" w:fill="FFFFFF"/>
        </w:rPr>
      </w:pPr>
      <w:r w:rsidRPr="00A01C15">
        <w:rPr>
          <w:rFonts w:ascii="Times New Roman" w:hAnsi="Times New Roman" w:cs="Times New Roman"/>
          <w:color w:val="000000" w:themeColor="text1"/>
          <w:sz w:val="24"/>
          <w:szCs w:val="24"/>
        </w:rPr>
        <w:t>Assignment Title:</w:t>
      </w:r>
      <w:r w:rsidRPr="00A01C15">
        <w:rPr>
          <w:rFonts w:ascii="Times New Roman" w:hAnsi="Times New Roman" w:cs="Times New Roman"/>
          <w:b/>
          <w:bCs/>
          <w:color w:val="000000" w:themeColor="text1"/>
          <w:sz w:val="24"/>
          <w:szCs w:val="24"/>
        </w:rPr>
        <w:t xml:space="preserve"> </w:t>
      </w:r>
      <w:r w:rsidRPr="00A01C15">
        <w:rPr>
          <w:rFonts w:ascii="Times New Roman" w:hAnsi="Times New Roman" w:cs="Times New Roman"/>
          <w:b/>
          <w:bCs/>
          <w:color w:val="000000" w:themeColor="text1"/>
          <w:sz w:val="24"/>
          <w:szCs w:val="24"/>
          <w:shd w:val="clear" w:color="auto" w:fill="FFFFFF"/>
        </w:rPr>
        <w:t>Selection of a consultancy firm to Design Data Lakehouse with Business Intelligence</w:t>
      </w:r>
    </w:p>
    <w:p w14:paraId="6F188BCE" w14:textId="77777777" w:rsidR="00A01C15" w:rsidRPr="00A01C15" w:rsidRDefault="00A01C15" w:rsidP="00A01C15">
      <w:pPr>
        <w:pStyle w:val="NormalWeb"/>
        <w:spacing w:before="0" w:beforeAutospacing="0" w:after="0" w:afterAutospacing="0" w:line="360" w:lineRule="auto"/>
        <w:jc w:val="both"/>
        <w:rPr>
          <w:color w:val="000000" w:themeColor="text1"/>
        </w:rPr>
      </w:pPr>
      <w:r w:rsidRPr="00A01C15">
        <w:rPr>
          <w:b/>
          <w:bCs/>
          <w:color w:val="000000" w:themeColor="text1"/>
        </w:rPr>
        <w:t>Reference No:</w:t>
      </w:r>
      <w:r w:rsidRPr="00A01C15">
        <w:rPr>
          <w:color w:val="000000" w:themeColor="text1"/>
        </w:rPr>
        <w:t xml:space="preserve"> </w:t>
      </w:r>
      <w:r w:rsidRPr="00A01C15">
        <w:rPr>
          <w:b/>
          <w:bCs/>
          <w:color w:val="000000" w:themeColor="text1"/>
          <w:shd w:val="clear" w:color="auto" w:fill="FFFFFF"/>
        </w:rPr>
        <w:t>ACCESS/GOVTECH/CS-16</w:t>
      </w:r>
    </w:p>
    <w:p w14:paraId="3FF32D2A" w14:textId="77777777" w:rsidR="00A01C15" w:rsidRPr="00A01C15" w:rsidRDefault="00A01C15" w:rsidP="00A01C15">
      <w:pPr>
        <w:jc w:val="both"/>
      </w:pPr>
    </w:p>
    <w:p w14:paraId="44E4A273" w14:textId="77777777" w:rsidR="00DE0792" w:rsidRPr="00A01C15" w:rsidRDefault="00DE0792" w:rsidP="00A01C15">
      <w:pPr>
        <w:jc w:val="both"/>
        <w:rPr>
          <w:b/>
          <w:i/>
        </w:rPr>
      </w:pPr>
    </w:p>
    <w:p w14:paraId="1238F6BD" w14:textId="77777777" w:rsidR="00DE0792" w:rsidRPr="00A01C15" w:rsidRDefault="00DE0792" w:rsidP="00A01C15">
      <w:pPr>
        <w:pStyle w:val="ListParagraph"/>
        <w:numPr>
          <w:ilvl w:val="0"/>
          <w:numId w:val="1"/>
        </w:numPr>
        <w:ind w:left="360"/>
        <w:jc w:val="both"/>
        <w:rPr>
          <w:b/>
          <w:i/>
        </w:rPr>
      </w:pPr>
      <w:r w:rsidRPr="00A01C15">
        <w:rPr>
          <w:b/>
          <w:i/>
        </w:rPr>
        <w:t>Background:</w:t>
      </w:r>
    </w:p>
    <w:p w14:paraId="2E5E65C9" w14:textId="77777777" w:rsidR="00DE0792" w:rsidRPr="00A01C15" w:rsidRDefault="00DE0792" w:rsidP="00A01C15">
      <w:pPr>
        <w:jc w:val="both"/>
        <w:rPr>
          <w:bCs/>
          <w:iCs/>
        </w:rPr>
      </w:pPr>
    </w:p>
    <w:p w14:paraId="7673A18A" w14:textId="77777777" w:rsidR="00DE0792" w:rsidRPr="00A01C15" w:rsidRDefault="00DE0792" w:rsidP="00A01C15">
      <w:pPr>
        <w:jc w:val="both"/>
        <w:rPr>
          <w:bCs/>
          <w:iCs/>
        </w:rPr>
      </w:pPr>
      <w:r w:rsidRPr="00A01C15">
        <w:rPr>
          <w:bCs/>
          <w:iCs/>
        </w:rPr>
        <w:t>Under the Accelerating Transport and Trade Connectivity in Eastern South Asia Program (ACESS) Phase 2 - Bhutan Project (P181278) Project, The Royal Government of Bhutan is pursuing strategic investments in digital transformation for enhanced public services delivery and socio-economic development. A key component of Bhutan's digital transformation is the development of a Bhutan National Single Window (BNSW) for trade documents. To improve its international trading performance, Bhutan has committed to develop and implement a National Single Window (NSW) for trade. The NSW, through the introduction of an electronic, online solution, will integrate existing certificate, license, and permit issuing services into a unified platform, facilitating faster and more transparent international trade procedures, reducing costs, enhancing inter-agency coordination, and decreasing the time required to clear goods. The NSW shall be interfaced with Bhutan's existing trade and border management ICT systems, providing an effective platform for the regulation of international trade.</w:t>
      </w:r>
    </w:p>
    <w:p w14:paraId="4D091CF3" w14:textId="77777777" w:rsidR="00DE0792" w:rsidRPr="00A01C15" w:rsidRDefault="00DE0792" w:rsidP="00A01C15">
      <w:pPr>
        <w:jc w:val="both"/>
        <w:rPr>
          <w:bCs/>
          <w:iCs/>
        </w:rPr>
      </w:pPr>
    </w:p>
    <w:p w14:paraId="71A86CD1" w14:textId="77777777" w:rsidR="00DE0792" w:rsidRPr="00A01C15" w:rsidRDefault="00DE0792" w:rsidP="00A01C15">
      <w:pPr>
        <w:jc w:val="both"/>
        <w:rPr>
          <w:bCs/>
          <w:iCs/>
        </w:rPr>
      </w:pPr>
      <w:r w:rsidRPr="00A01C15">
        <w:rPr>
          <w:bCs/>
          <w:iCs/>
        </w:rPr>
        <w:t>The implementation of the Bhutan National Single Window involves the large-scale processing of data, alongside extensive cross-border data flows. To meet data processing, reporting, analytics and visualization requirement a data lakehouse, ETL environment, and BI solution is necessary to meet related needs.</w:t>
      </w:r>
    </w:p>
    <w:p w14:paraId="65638642" w14:textId="77777777" w:rsidR="00DE0792" w:rsidRPr="00A01C15" w:rsidRDefault="00DE0792" w:rsidP="00A01C15">
      <w:pPr>
        <w:jc w:val="both"/>
        <w:rPr>
          <w:b/>
          <w:i/>
        </w:rPr>
      </w:pPr>
      <w:bookmarkStart w:id="7" w:name="_GoBack"/>
      <w:bookmarkEnd w:id="7"/>
    </w:p>
    <w:p w14:paraId="36228764" w14:textId="77777777" w:rsidR="00DE0792" w:rsidRPr="00A01C15" w:rsidRDefault="00DE0792" w:rsidP="00A01C15">
      <w:pPr>
        <w:pStyle w:val="ListParagraph"/>
        <w:numPr>
          <w:ilvl w:val="0"/>
          <w:numId w:val="1"/>
        </w:numPr>
        <w:ind w:left="360"/>
        <w:jc w:val="both"/>
        <w:rPr>
          <w:b/>
          <w:i/>
        </w:rPr>
      </w:pPr>
      <w:r w:rsidRPr="00A01C15">
        <w:rPr>
          <w:b/>
          <w:i/>
        </w:rPr>
        <w:t>Objectives of the Assignment</w:t>
      </w:r>
    </w:p>
    <w:p w14:paraId="65B0D301" w14:textId="77777777" w:rsidR="00DE0792" w:rsidRPr="00A01C15" w:rsidRDefault="00DE0792" w:rsidP="00A01C15">
      <w:pPr>
        <w:jc w:val="both"/>
      </w:pPr>
    </w:p>
    <w:p w14:paraId="4B9BB8BC" w14:textId="77777777" w:rsidR="00DE0792" w:rsidRPr="00A01C15" w:rsidRDefault="00DE0792" w:rsidP="00A01C15">
      <w:pPr>
        <w:pStyle w:val="ListParagraph"/>
        <w:numPr>
          <w:ilvl w:val="0"/>
          <w:numId w:val="2"/>
        </w:numPr>
        <w:spacing w:after="160"/>
        <w:jc w:val="both"/>
      </w:pPr>
      <w:r w:rsidRPr="00A01C15">
        <w:t>To design a complete, secure, and resilient end-to-end data warehouse/lakehouse architecture including BI for the National Single Window (NSW) project. The expected outcome is a fully documented, justified data platform solution ready for implementation.</w:t>
      </w:r>
    </w:p>
    <w:p w14:paraId="300AE94D" w14:textId="77777777" w:rsidR="00DE0792" w:rsidRPr="00A01C15" w:rsidRDefault="00DE0792" w:rsidP="00A01C15">
      <w:pPr>
        <w:pStyle w:val="ListParagraph"/>
        <w:numPr>
          <w:ilvl w:val="0"/>
          <w:numId w:val="2"/>
        </w:numPr>
        <w:spacing w:after="160"/>
        <w:jc w:val="both"/>
      </w:pPr>
      <w:r w:rsidRPr="00A01C15">
        <w:t>Provide knowledge transfer and advisory measures to support the GovTech Project Management Unit (PMU) and the Data Science and AI Division (DSAID) in managing the implementation and sustaining the lakehouse platform.</w:t>
      </w:r>
    </w:p>
    <w:p w14:paraId="2DA5031E" w14:textId="77777777" w:rsidR="00DE0792" w:rsidRPr="00A01C15" w:rsidRDefault="00DE0792" w:rsidP="00A01C15">
      <w:pPr>
        <w:jc w:val="both"/>
        <w:rPr>
          <w:b/>
          <w:i/>
        </w:rPr>
      </w:pPr>
    </w:p>
    <w:p w14:paraId="2E756F11" w14:textId="77777777" w:rsidR="00DE0792" w:rsidRPr="00A01C15" w:rsidRDefault="00DE0792" w:rsidP="00A01C15">
      <w:pPr>
        <w:pStyle w:val="ListParagraph"/>
        <w:numPr>
          <w:ilvl w:val="0"/>
          <w:numId w:val="1"/>
        </w:numPr>
        <w:ind w:left="360"/>
        <w:jc w:val="both"/>
        <w:rPr>
          <w:b/>
          <w:i/>
        </w:rPr>
      </w:pPr>
      <w:r w:rsidRPr="00A01C15">
        <w:rPr>
          <w:b/>
          <w:i/>
        </w:rPr>
        <w:t>Scope of Services, Tasks (Components) and Expected Deliverables</w:t>
      </w:r>
    </w:p>
    <w:p w14:paraId="6A32987E" w14:textId="77777777" w:rsidR="00DE0792" w:rsidRPr="00A01C15" w:rsidRDefault="00DE0792" w:rsidP="00A01C15">
      <w:pPr>
        <w:jc w:val="both"/>
        <w:rPr>
          <w:b/>
          <w:i/>
          <w:highlight w:val="yellow"/>
        </w:rPr>
      </w:pPr>
    </w:p>
    <w:p w14:paraId="32111841" w14:textId="77777777" w:rsidR="00DE0792" w:rsidRPr="00A01C15" w:rsidRDefault="00DE0792" w:rsidP="00A01C15">
      <w:pPr>
        <w:jc w:val="both"/>
      </w:pPr>
      <w:r w:rsidRPr="00A01C15">
        <w:t>The Consultancy shall be responsible for the delivery of activities, reports and recommendations across five phases.</w:t>
      </w:r>
    </w:p>
    <w:p w14:paraId="54DC4077" w14:textId="77777777" w:rsidR="00DE0792" w:rsidRPr="00A01C15" w:rsidRDefault="00DE0792" w:rsidP="00A01C15">
      <w:pPr>
        <w:jc w:val="both"/>
      </w:pPr>
    </w:p>
    <w:p w14:paraId="20A200AE" w14:textId="77777777" w:rsidR="00DE0792" w:rsidRPr="00A01C15" w:rsidRDefault="00DE0792" w:rsidP="00A01C15">
      <w:pPr>
        <w:ind w:left="360"/>
        <w:jc w:val="both"/>
        <w:rPr>
          <w:b/>
          <w:bCs/>
        </w:rPr>
      </w:pPr>
      <w:bookmarkStart w:id="8" w:name="OLE_LINK15"/>
      <w:r w:rsidRPr="00A01C15">
        <w:rPr>
          <w:b/>
          <w:bCs/>
        </w:rPr>
        <w:t>Phase 1 – Inception, Assessment &amp; Planning</w:t>
      </w:r>
    </w:p>
    <w:p w14:paraId="0200D8D3" w14:textId="77777777" w:rsidR="00DE0792" w:rsidRPr="00A01C15" w:rsidRDefault="00DE0792" w:rsidP="00A01C15">
      <w:pPr>
        <w:numPr>
          <w:ilvl w:val="0"/>
          <w:numId w:val="3"/>
        </w:numPr>
        <w:spacing w:after="160"/>
        <w:ind w:left="1080"/>
        <w:jc w:val="both"/>
      </w:pPr>
      <w:r w:rsidRPr="00A01C15">
        <w:t>Inception &amp; Gap Analysis: Conduct stakeholder workshops; review all available documentation and technical assets; assess on-premise infrastructure adequacy against modern data platform demands, identifying bottlenecks. Annex A comprises a list of preliminary organizations to be consulted, based on the scope of the National Single Window (NSW) at the present time. As part of the infrastructure gap analysis, the Firm shall assess the current and required environment landscape across development, testing, UAT, and production tiers. The assessment shall recommend an environment provisioning and promotion approach (including branching/release strategy, configuration management, and data masking or subsetting requirements for non-production environments) and identify any infrastructure or licensing gaps</w:t>
      </w:r>
    </w:p>
    <w:p w14:paraId="758AC04F" w14:textId="079F884B" w:rsidR="00DE0792" w:rsidRPr="00A01C15" w:rsidRDefault="00DE0792" w:rsidP="00A01C15">
      <w:pPr>
        <w:numPr>
          <w:ilvl w:val="0"/>
          <w:numId w:val="3"/>
        </w:numPr>
        <w:spacing w:after="160"/>
        <w:ind w:left="1080"/>
        <w:jc w:val="both"/>
      </w:pPr>
      <w:bookmarkStart w:id="9" w:name="OLE_LINK12"/>
      <w:r w:rsidRPr="00A01C15">
        <w:t xml:space="preserve">Data Source Assessment: Using the Client-provided Annex A – Preliminary Data Sources Inventory as a baseline, validate and profile all in-scope NSW data sources (approximately 20–25, including Customs, trade licensing, and finance systems); document data types, volumes, velocity, and quality for each source. For each profiled data </w:t>
      </w:r>
      <w:r w:rsidR="00CC5152" w:rsidRPr="00A01C15">
        <w:t>source,</w:t>
      </w:r>
      <w:r w:rsidRPr="00A01C15">
        <w:t xml:space="preserve"> the Firm shall execute data quality checks (completeness, uniqueness, validity, consistency, timeliness) and document baseline quality. The assessment shall identify authoritative (master) sources for shared reference entities and flag any conflicting or duplicated master data across systems. The Firm shall submit an updated Annex A for Client approval as part of the Phase 1 deliverable.</w:t>
      </w:r>
    </w:p>
    <w:p w14:paraId="784888A4" w14:textId="447CB91D" w:rsidR="00A57AED" w:rsidRPr="00A01C15" w:rsidRDefault="00F52C7F" w:rsidP="00A01C15">
      <w:pPr>
        <w:spacing w:after="160"/>
        <w:ind w:left="720"/>
        <w:jc w:val="both"/>
        <w:rPr>
          <w:b/>
          <w:bCs/>
        </w:rPr>
      </w:pPr>
      <w:r w:rsidRPr="00A01C15">
        <w:rPr>
          <w:b/>
          <w:bCs/>
        </w:rPr>
        <w:t>Treatment of Existing and Proposed Systems:</w:t>
      </w:r>
    </w:p>
    <w:p w14:paraId="7D6EC279" w14:textId="021F4F2D" w:rsidR="00A57AED" w:rsidRPr="00A01C15" w:rsidRDefault="00A57AED" w:rsidP="00A01C15">
      <w:pPr>
        <w:spacing w:after="160"/>
        <w:ind w:left="1080"/>
        <w:jc w:val="both"/>
      </w:pPr>
      <w:r w:rsidRPr="00A01C15">
        <w:t xml:space="preserve">For avoidance of doubt, any Annex A entry identified as proposed, planned, under development, or not yet operational shall remain within scope only for high-level future onboarding assessment as expressly set out in this </w:t>
      </w:r>
      <w:proofErr w:type="spellStart"/>
      <w:r w:rsidRPr="00A01C15">
        <w:t>ToR</w:t>
      </w:r>
      <w:proofErr w:type="spellEnd"/>
      <w:r w:rsidRPr="00A01C15">
        <w:t>. Such entries shall not be treated as subject to full source profiling, detailed data-quality assessment, interface-level specification, or implementation-ready onboarding design unless and until GovTech and relevant stakeholders have sufficiently defined the relevant system to permit such assessment.</w:t>
      </w:r>
    </w:p>
    <w:p w14:paraId="5EBC945B" w14:textId="77777777" w:rsidR="003F564B" w:rsidRPr="00A01C15" w:rsidRDefault="003F564B" w:rsidP="00A01C15">
      <w:pPr>
        <w:spacing w:after="160"/>
        <w:ind w:left="1080"/>
        <w:jc w:val="both"/>
      </w:pPr>
    </w:p>
    <w:p w14:paraId="6700969A" w14:textId="77777777" w:rsidR="00DE0792" w:rsidRPr="00A01C15" w:rsidRDefault="00DE0792" w:rsidP="00A01C15">
      <w:pPr>
        <w:numPr>
          <w:ilvl w:val="0"/>
          <w:numId w:val="3"/>
        </w:numPr>
        <w:spacing w:after="160"/>
        <w:ind w:left="1080"/>
        <w:jc w:val="both"/>
      </w:pPr>
      <w:r w:rsidRPr="00A01C15">
        <w:t>Legal &amp; Compliance Review: Ensure designs comply with National Data Governance Framework, Information Communication and Media (ICM) Act, National Digital Identity (NDI) Act, and other relevant regulations. Legal and regulatory review must be translated into concrete technical design choices (e.g., how the ICM Act and NDI Act affect storage, access layers, and encryption). The Firm shall compile a dataset-level inventory of all personal and sensitive data elements processed, classifying each by sensitivity tier (e.g., public, internal, confidential, restricted).</w:t>
      </w:r>
    </w:p>
    <w:p w14:paraId="1C9E851D" w14:textId="77777777" w:rsidR="00DE0792" w:rsidRPr="00A01C15" w:rsidRDefault="00DE0792" w:rsidP="00A01C15">
      <w:pPr>
        <w:numPr>
          <w:ilvl w:val="0"/>
          <w:numId w:val="3"/>
        </w:numPr>
        <w:spacing w:after="160"/>
        <w:ind w:left="1080"/>
        <w:jc w:val="both"/>
      </w:pPr>
      <w:bookmarkStart w:id="10" w:name="OLE_LINK1"/>
      <w:r w:rsidRPr="00A01C15">
        <w:rPr>
          <w:color w:val="000000"/>
        </w:rPr>
        <w:lastRenderedPageBreak/>
        <w:t xml:space="preserve">Data Exchange Assessment: </w:t>
      </w:r>
      <w:r w:rsidRPr="00A01C15">
        <w:t>Analyze</w:t>
      </w:r>
      <w:r w:rsidRPr="00A01C15">
        <w:rPr>
          <w:color w:val="000000"/>
        </w:rPr>
        <w:t xml:space="preserve"> the requirements for data exchange over the existing enterprise service bus (ESB) between (1) the NSW lakehouse, (2) other existing government systems. The assessment should also consider RGoB overall data sharing requirements including the upcoming implementation of GovStack building blocks. The assessment must focus on security, latency, and API-driven interoperability, data variables, as well as query performance strategy and identification of high‑latency data retrieval patterns. For each required interface, the consultant firm shall define (and justify) the integration pattern to be used, such as batch ingestion, incremental ingestion/CDC, event/streaming, or API-based retrieval. The Firm shall define latency tiers (for example: near-real-time, hourly, daily, ad hoc) and assign one tier per interface. </w:t>
      </w:r>
      <w:r w:rsidRPr="00A01C15">
        <w:t xml:space="preserve">The Phase 1 deliverable shall include an Interface Catalogue (tabular) listing at minimum: source system, consuming system(s), data domain, interface pattern, latency tier, authentication/authorization method, encryption requirements, error handling/retry approach, logging/audit requirements, and ownership/responsibility for interface operations. </w:t>
      </w:r>
    </w:p>
    <w:p w14:paraId="086563FC" w14:textId="77777777" w:rsidR="00DE0792" w:rsidRPr="00A01C15" w:rsidRDefault="00DE0792" w:rsidP="00A01C15">
      <w:pPr>
        <w:pStyle w:val="ListParagraph"/>
        <w:ind w:left="1170"/>
        <w:jc w:val="both"/>
        <w:rPr>
          <w:color w:val="000000"/>
        </w:rPr>
      </w:pPr>
    </w:p>
    <w:bookmarkEnd w:id="8"/>
    <w:bookmarkEnd w:id="9"/>
    <w:bookmarkEnd w:id="10"/>
    <w:p w14:paraId="34B961BC" w14:textId="77777777" w:rsidR="00DE0792" w:rsidRPr="00A01C15" w:rsidRDefault="00DE0792" w:rsidP="00A01C15">
      <w:pPr>
        <w:pBdr>
          <w:top w:val="nil"/>
          <w:left w:val="nil"/>
          <w:bottom w:val="nil"/>
          <w:right w:val="nil"/>
          <w:between w:val="nil"/>
        </w:pBdr>
        <w:ind w:left="990"/>
        <w:jc w:val="both"/>
        <w:rPr>
          <w:color w:val="000000"/>
        </w:rPr>
      </w:pPr>
    </w:p>
    <w:p w14:paraId="46E74310" w14:textId="77777777" w:rsidR="00DE0792" w:rsidRPr="00A01C15" w:rsidRDefault="00DE0792" w:rsidP="00A01C15">
      <w:pPr>
        <w:ind w:left="360"/>
        <w:jc w:val="both"/>
        <w:rPr>
          <w:b/>
          <w:bCs/>
        </w:rPr>
      </w:pPr>
      <w:r w:rsidRPr="00A01C15">
        <w:rPr>
          <w:b/>
          <w:bCs/>
        </w:rPr>
        <w:t>Phase 2 – Core Architecture Design</w:t>
      </w:r>
    </w:p>
    <w:p w14:paraId="30BC212D" w14:textId="77777777" w:rsidR="00A84F6C" w:rsidRPr="00A01C15" w:rsidRDefault="00DE0792" w:rsidP="00A01C15">
      <w:pPr>
        <w:numPr>
          <w:ilvl w:val="0"/>
          <w:numId w:val="4"/>
        </w:numPr>
        <w:spacing w:after="160"/>
        <w:jc w:val="both"/>
      </w:pPr>
      <w:r w:rsidRPr="00A01C15">
        <w:t xml:space="preserve">Architectural Blueprint: A fully specified, implementation-ready design. </w:t>
      </w:r>
      <w:r w:rsidR="00A84F6C" w:rsidRPr="00A01C15">
        <w:t xml:space="preserve">The design </w:t>
      </w:r>
      <w:r w:rsidRPr="00A01C15">
        <w:t xml:space="preserve">should leverage sizing done by a data center </w:t>
      </w:r>
      <w:r w:rsidR="00406262" w:rsidRPr="00A01C15">
        <w:t xml:space="preserve">expert </w:t>
      </w:r>
      <w:r w:rsidRPr="00A01C15">
        <w:t>procured by the client.</w:t>
      </w:r>
      <w:r w:rsidR="00A84F6C" w:rsidRPr="00A01C15">
        <w:t xml:space="preserve"> </w:t>
      </w:r>
    </w:p>
    <w:p w14:paraId="17E32F87" w14:textId="1DB12A9A" w:rsidR="00A84F6C" w:rsidRPr="00A01C15" w:rsidRDefault="00A84F6C" w:rsidP="00A01C15">
      <w:pPr>
        <w:numPr>
          <w:ilvl w:val="0"/>
          <w:numId w:val="4"/>
        </w:numPr>
        <w:spacing w:after="160"/>
        <w:jc w:val="both"/>
      </w:pPr>
      <w:r w:rsidRPr="00A01C15">
        <w:t>For purposes of this assignment, “implementation-ready design” means a design package sufficiently detailed to support the preparation of the subsequent implementation procurement and implementation planning, and shall include at a minimum:</w:t>
      </w:r>
    </w:p>
    <w:p w14:paraId="01A2FFA6" w14:textId="77777777" w:rsidR="00A84F6C" w:rsidRPr="00A01C15" w:rsidRDefault="00A84F6C" w:rsidP="00A01C15">
      <w:pPr>
        <w:spacing w:after="160"/>
        <w:ind w:left="720"/>
        <w:jc w:val="both"/>
      </w:pPr>
      <w:r w:rsidRPr="00A01C15">
        <w:t>(a) an architecture narrative describing the target-state platform and operating model;</w:t>
      </w:r>
    </w:p>
    <w:p w14:paraId="65364038" w14:textId="77777777" w:rsidR="00A84F6C" w:rsidRPr="00A01C15" w:rsidRDefault="00A84F6C" w:rsidP="00A01C15">
      <w:pPr>
        <w:spacing w:after="160"/>
        <w:ind w:left="720"/>
        <w:jc w:val="both"/>
      </w:pPr>
      <w:r w:rsidRPr="00A01C15">
        <w:t>(b) logical and physical architecture diagrams;</w:t>
      </w:r>
    </w:p>
    <w:p w14:paraId="6D4A9808" w14:textId="77777777" w:rsidR="00A84F6C" w:rsidRPr="00A01C15" w:rsidRDefault="00A84F6C" w:rsidP="00A01C15">
      <w:pPr>
        <w:spacing w:after="160"/>
        <w:ind w:left="720"/>
        <w:jc w:val="both"/>
      </w:pPr>
      <w:r w:rsidRPr="00A01C15">
        <w:t>(c) environment topology covering development, testing, UAT, and production;</w:t>
      </w:r>
    </w:p>
    <w:p w14:paraId="61B76197" w14:textId="77777777" w:rsidR="00A84F6C" w:rsidRPr="00A01C15" w:rsidRDefault="00A84F6C" w:rsidP="00A01C15">
      <w:pPr>
        <w:spacing w:after="160"/>
        <w:ind w:left="720"/>
        <w:jc w:val="both"/>
      </w:pPr>
      <w:r w:rsidRPr="00A01C15">
        <w:t>(d) source-to-platform ingestion and integration architecture, aligned to the approved Interface Catalogue;</w:t>
      </w:r>
    </w:p>
    <w:p w14:paraId="5327D344" w14:textId="77777777" w:rsidR="00A84F6C" w:rsidRPr="00A01C15" w:rsidRDefault="00A84F6C" w:rsidP="00A01C15">
      <w:pPr>
        <w:spacing w:after="160"/>
        <w:ind w:left="720"/>
        <w:jc w:val="both"/>
      </w:pPr>
      <w:r w:rsidRPr="00A01C15">
        <w:t>(e) storage-layer design, processing-layer design, modelling approach, and data lifecycle design;</w:t>
      </w:r>
    </w:p>
    <w:p w14:paraId="39E0C9BF" w14:textId="77777777" w:rsidR="00A84F6C" w:rsidRPr="00A01C15" w:rsidRDefault="00A84F6C" w:rsidP="00A01C15">
      <w:pPr>
        <w:spacing w:after="160"/>
        <w:ind w:left="720"/>
        <w:jc w:val="both"/>
      </w:pPr>
      <w:r w:rsidRPr="00A01C15">
        <w:t>(f) security architecture assumptions and controls aligned to the Phase 3 security outputs;</w:t>
      </w:r>
    </w:p>
    <w:p w14:paraId="7FA86964" w14:textId="77777777" w:rsidR="00A84F6C" w:rsidRPr="00A01C15" w:rsidRDefault="00A84F6C" w:rsidP="00A01C15">
      <w:pPr>
        <w:spacing w:after="160"/>
        <w:ind w:left="720"/>
        <w:jc w:val="both"/>
      </w:pPr>
      <w:r w:rsidRPr="00A01C15">
        <w:t>(g) capacity, sizing, and environment assumptions, including any dependency on Client-provided infrastructure studies;</w:t>
      </w:r>
    </w:p>
    <w:p w14:paraId="7AE02CB1" w14:textId="77777777" w:rsidR="00A84F6C" w:rsidRPr="00A01C15" w:rsidRDefault="00A84F6C" w:rsidP="00A01C15">
      <w:pPr>
        <w:spacing w:after="160"/>
        <w:ind w:left="720"/>
        <w:jc w:val="both"/>
      </w:pPr>
      <w:r w:rsidRPr="00A01C15">
        <w:t>(h) non-functional requirements, including performance, resilience, auditability, maintainability, and recoverability assumptions;</w:t>
      </w:r>
    </w:p>
    <w:p w14:paraId="051F7CD0" w14:textId="77777777" w:rsidR="00A84F6C" w:rsidRPr="00A01C15" w:rsidRDefault="00A84F6C" w:rsidP="00A01C15">
      <w:pPr>
        <w:spacing w:after="160"/>
        <w:ind w:left="720"/>
        <w:jc w:val="both"/>
      </w:pPr>
      <w:r w:rsidRPr="00A01C15">
        <w:t>(</w:t>
      </w:r>
      <w:proofErr w:type="spellStart"/>
      <w:r w:rsidRPr="00A01C15">
        <w:t>i</w:t>
      </w:r>
      <w:proofErr w:type="spellEnd"/>
      <w:r w:rsidRPr="00A01C15">
        <w:t>) implementation dependencies, sequencing constraints, and design assumptions; and</w:t>
      </w:r>
    </w:p>
    <w:p w14:paraId="2403EA71" w14:textId="77777777" w:rsidR="00A84F6C" w:rsidRPr="00A01C15" w:rsidRDefault="00A84F6C" w:rsidP="00A01C15">
      <w:pPr>
        <w:spacing w:after="160"/>
        <w:ind w:left="720"/>
        <w:jc w:val="both"/>
      </w:pPr>
      <w:r w:rsidRPr="00A01C15">
        <w:t>(j) full traceability to material findings from Phase 1.</w:t>
      </w:r>
    </w:p>
    <w:p w14:paraId="31048784" w14:textId="4545B157" w:rsidR="00DE0792" w:rsidRPr="00A01C15" w:rsidRDefault="00A84F6C" w:rsidP="00A01C15">
      <w:pPr>
        <w:spacing w:after="160"/>
        <w:ind w:left="720"/>
        <w:jc w:val="both"/>
      </w:pPr>
      <w:r w:rsidRPr="00A01C15">
        <w:lastRenderedPageBreak/>
        <w:t xml:space="preserve">For the avoidance of doubt, this assignment does not include software development, configuration, migration execution, or production deployment under Phase 2 unless expressly stated elsewhere in this </w:t>
      </w:r>
      <w:proofErr w:type="spellStart"/>
      <w:r w:rsidRPr="00A01C15">
        <w:t>ToR</w:t>
      </w:r>
      <w:proofErr w:type="spellEnd"/>
      <w:r w:rsidRPr="00A01C15">
        <w:t>.</w:t>
      </w:r>
    </w:p>
    <w:p w14:paraId="15CFB077" w14:textId="64753C2B" w:rsidR="00DE0792" w:rsidRPr="00A01C15" w:rsidRDefault="0098765F" w:rsidP="00A01C15">
      <w:pPr>
        <w:spacing w:after="160"/>
        <w:ind w:left="714" w:hanging="354"/>
        <w:jc w:val="both"/>
      </w:pPr>
      <w:r w:rsidRPr="00A01C15">
        <w:t>3.</w:t>
      </w:r>
      <w:r w:rsidRPr="00A01C15">
        <w:tab/>
      </w:r>
      <w:r w:rsidR="00DE0792" w:rsidRPr="00A01C15">
        <w:t>Design logical &amp; physical diagrams: storage layers (Bronze/Silver/Gold), ingestion patterns (batch, streaming, API), processing engines, Storage format choices; modeling approaches.</w:t>
      </w:r>
    </w:p>
    <w:p w14:paraId="5BB19314" w14:textId="41D45F42" w:rsidR="00DE0792" w:rsidRPr="00A01C15" w:rsidRDefault="00A84F6C" w:rsidP="00A01C15">
      <w:pPr>
        <w:spacing w:after="160"/>
        <w:ind w:left="720" w:hanging="360"/>
        <w:jc w:val="both"/>
      </w:pPr>
      <w:r w:rsidRPr="00A01C15">
        <w:t>4.</w:t>
      </w:r>
      <w:r w:rsidRPr="00A01C15">
        <w:tab/>
      </w:r>
      <w:r w:rsidR="00DE0792" w:rsidRPr="00A01C15">
        <w:t>Technology Justification: Formal recommendation &amp; justification for the technology stack (FOSS vs. commercial; on-premise vs. hybrid cloud) based on TCO, performance, security, maintainability.</w:t>
      </w:r>
    </w:p>
    <w:p w14:paraId="46645BE7" w14:textId="77777777" w:rsidR="00DE0792" w:rsidRPr="00A01C15" w:rsidRDefault="00DE0792" w:rsidP="00A01C15">
      <w:pPr>
        <w:spacing w:after="160" w:line="278" w:lineRule="auto"/>
        <w:ind w:left="1080"/>
        <w:jc w:val="both"/>
      </w:pPr>
    </w:p>
    <w:p w14:paraId="13268D81" w14:textId="77777777" w:rsidR="00DE0792" w:rsidRPr="00A01C15" w:rsidRDefault="00DE0792" w:rsidP="00A01C15">
      <w:pPr>
        <w:ind w:left="360"/>
        <w:jc w:val="both"/>
        <w:rPr>
          <w:b/>
          <w:bCs/>
        </w:rPr>
      </w:pPr>
      <w:r w:rsidRPr="00A01C15">
        <w:rPr>
          <w:b/>
          <w:bCs/>
        </w:rPr>
        <w:t>Phase 3 – Security &amp; Governance Design</w:t>
      </w:r>
    </w:p>
    <w:p w14:paraId="490F4682" w14:textId="77777777" w:rsidR="00DE0792" w:rsidRPr="00A01C15" w:rsidRDefault="00DE0792" w:rsidP="00A01C15">
      <w:pPr>
        <w:numPr>
          <w:ilvl w:val="0"/>
          <w:numId w:val="5"/>
        </w:numPr>
        <w:spacing w:after="160"/>
        <w:jc w:val="both"/>
      </w:pPr>
      <w:r w:rsidRPr="00A01C15">
        <w:t>Security Architecture: Design a multi-layered model including authentication (LDAP/AD, Kerberos), authorization (RBAC at table/column/row level, e.g., Apache Ranger), its integration with IAM (LDAP/AD, Kerberos), data protection (encryption, masking), and auditing (logging). The Firm shall produce the following implementation-grade artifacts:</w:t>
      </w:r>
    </w:p>
    <w:p w14:paraId="6A10CF5A" w14:textId="77777777" w:rsidR="00DE0792" w:rsidRPr="00A01C15" w:rsidRDefault="00DE0792" w:rsidP="00A01C15">
      <w:pPr>
        <w:spacing w:after="160"/>
        <w:ind w:left="720"/>
        <w:jc w:val="both"/>
      </w:pPr>
      <w:r w:rsidRPr="00A01C15">
        <w:t>(a) A data classification scheme for the NSW analytical environment, defining classification tiers and minimum handling requirements per tier (access constraints, encryption requirements, logging requirements, retention requirements), aligned with applicable national policies.</w:t>
      </w:r>
    </w:p>
    <w:p w14:paraId="21EF9FA4" w14:textId="77777777" w:rsidR="00DE0792" w:rsidRPr="00A01C15" w:rsidRDefault="00DE0792" w:rsidP="00A01C15">
      <w:pPr>
        <w:spacing w:after="160"/>
        <w:ind w:left="720"/>
        <w:jc w:val="both"/>
      </w:pPr>
      <w:r w:rsidRPr="00A01C15">
        <w:t>(b) An access control matrix defining user roles, dataset/domain entitlements by role, row/column-level restrictions where required, masking rules where required, and the approval workflow for granting/revoking access. The matrix shall be in tabular format suitable for implementation.</w:t>
      </w:r>
    </w:p>
    <w:p w14:paraId="00CC184B" w14:textId="77777777" w:rsidR="00DE0792" w:rsidRPr="00A01C15" w:rsidRDefault="00DE0792" w:rsidP="00A01C15">
      <w:pPr>
        <w:spacing w:after="160"/>
        <w:ind w:left="720"/>
        <w:jc w:val="both"/>
      </w:pPr>
      <w:r w:rsidRPr="00A01C15">
        <w:t>(c) Audit logging specifications defining audit logging events and retention periods covering authentication events, access to sensitive datasets, administrative actions, and data pipeline executions, including review responsibilities.</w:t>
      </w:r>
    </w:p>
    <w:p w14:paraId="30CCB430" w14:textId="77777777" w:rsidR="00DE0792" w:rsidRPr="00A01C15" w:rsidRDefault="00DE0792" w:rsidP="00A01C15">
      <w:pPr>
        <w:numPr>
          <w:ilvl w:val="0"/>
          <w:numId w:val="5"/>
        </w:numPr>
        <w:spacing w:after="160"/>
        <w:ind w:left="1080"/>
        <w:jc w:val="both"/>
      </w:pPr>
      <w:r w:rsidRPr="00A01C15">
        <w:t>Data Governance: Develop a blueprint for a central catalog, lineage tracking, metadata management, and data classification. The blueprint shall include: data retention/purge schedules; audit logging coverage and retention; and data quality governance (roles, approval processes). In addition, the Firm shall define data stewardship roles, minimum metadata fields for catalogue registration, lineage capture approach, and lifecycle processes for dataset onboarding, change management, and deprecation.</w:t>
      </w:r>
    </w:p>
    <w:p w14:paraId="38295F18" w14:textId="77777777" w:rsidR="00DE0792" w:rsidRPr="00A01C15" w:rsidRDefault="00DE0792" w:rsidP="00A01C15">
      <w:pPr>
        <w:ind w:left="360"/>
        <w:jc w:val="both"/>
        <w:rPr>
          <w:b/>
          <w:bCs/>
        </w:rPr>
      </w:pPr>
      <w:r w:rsidRPr="00A01C15">
        <w:rPr>
          <w:b/>
          <w:bCs/>
        </w:rPr>
        <w:t>Phase 4 – Implementation Planning</w:t>
      </w:r>
    </w:p>
    <w:p w14:paraId="2631EFE7" w14:textId="77777777" w:rsidR="00DE0792" w:rsidRPr="00A01C15" w:rsidRDefault="00DE0792" w:rsidP="00A01C15">
      <w:pPr>
        <w:numPr>
          <w:ilvl w:val="0"/>
          <w:numId w:val="6"/>
        </w:numPr>
        <w:spacing w:after="160" w:line="278" w:lineRule="auto"/>
        <w:ind w:left="1080"/>
        <w:jc w:val="both"/>
      </w:pPr>
      <w:r w:rsidRPr="00A01C15">
        <w:t>Implementation Roadmap: Develop a high-level phased roadmap for architecture build-out.</w:t>
      </w:r>
    </w:p>
    <w:p w14:paraId="64CD3A59" w14:textId="77777777" w:rsidR="00DE0792" w:rsidRPr="00A01C15" w:rsidRDefault="00DE0792" w:rsidP="00A01C15">
      <w:pPr>
        <w:numPr>
          <w:ilvl w:val="0"/>
          <w:numId w:val="6"/>
        </w:numPr>
        <w:spacing w:after="160" w:line="278" w:lineRule="auto"/>
        <w:ind w:left="1080"/>
        <w:jc w:val="both"/>
      </w:pPr>
      <w:r w:rsidRPr="00A01C15">
        <w:t>Terms of Reference (</w:t>
      </w:r>
      <w:proofErr w:type="spellStart"/>
      <w:r w:rsidRPr="00A01C15">
        <w:t>ToR</w:t>
      </w:r>
      <w:proofErr w:type="spellEnd"/>
      <w:r w:rsidRPr="00A01C15">
        <w:t xml:space="preserve">) for Implementation: </w:t>
      </w:r>
      <w:proofErr w:type="spellStart"/>
      <w:r w:rsidRPr="00A01C15">
        <w:t>ToR</w:t>
      </w:r>
      <w:proofErr w:type="spellEnd"/>
      <w:r w:rsidRPr="00A01C15">
        <w:t xml:space="preserve"> for Implementation: Develop a detailed, procurement-ready </w:t>
      </w:r>
      <w:proofErr w:type="spellStart"/>
      <w:r w:rsidRPr="00A01C15">
        <w:t>ToR</w:t>
      </w:r>
      <w:proofErr w:type="spellEnd"/>
      <w:r w:rsidRPr="00A01C15">
        <w:t xml:space="preserve"> in alignment with World Bank guidelines to </w:t>
      </w:r>
      <w:r w:rsidRPr="00A01C15">
        <w:lastRenderedPageBreak/>
        <w:t xml:space="preserve">procure a data engineering expert or firm for hands-on implementation, testing, and operationalization. The Implementation </w:t>
      </w:r>
      <w:proofErr w:type="spellStart"/>
      <w:r w:rsidRPr="00A01C15">
        <w:t>ToR</w:t>
      </w:r>
      <w:proofErr w:type="spellEnd"/>
      <w:r w:rsidRPr="00A01C15">
        <w:t xml:space="preserve"> shall, at minimum, include:</w:t>
      </w:r>
    </w:p>
    <w:p w14:paraId="30444279" w14:textId="77777777" w:rsidR="00DE0792" w:rsidRPr="00A01C15" w:rsidRDefault="00DE0792" w:rsidP="00A01C15">
      <w:pPr>
        <w:spacing w:after="160" w:line="278" w:lineRule="auto"/>
        <w:ind w:left="720"/>
        <w:jc w:val="both"/>
      </w:pPr>
      <w:r w:rsidRPr="00A01C15">
        <w:t>(a) Scope and phased work packages;</w:t>
      </w:r>
    </w:p>
    <w:p w14:paraId="45B6E324" w14:textId="77777777" w:rsidR="00DE0792" w:rsidRPr="00A01C15" w:rsidRDefault="00DE0792" w:rsidP="00A01C15">
      <w:pPr>
        <w:spacing w:after="160" w:line="278" w:lineRule="auto"/>
        <w:ind w:left="720"/>
        <w:jc w:val="both"/>
      </w:pPr>
      <w:r w:rsidRPr="00A01C15">
        <w:t>(b) Target architecture and environment requirements (dev/test/UAT/prod);</w:t>
      </w:r>
    </w:p>
    <w:p w14:paraId="1434A4FD" w14:textId="77777777" w:rsidR="00DE0792" w:rsidRPr="00A01C15" w:rsidRDefault="00DE0792" w:rsidP="00A01C15">
      <w:pPr>
        <w:spacing w:after="160" w:line="278" w:lineRule="auto"/>
        <w:ind w:left="720"/>
        <w:jc w:val="both"/>
      </w:pPr>
      <w:r w:rsidRPr="00A01C15">
        <w:t>(c) Data ingestion build requirements and mandatory use of the approved Interface Catalogue;</w:t>
      </w:r>
    </w:p>
    <w:p w14:paraId="42AA2745" w14:textId="77777777" w:rsidR="00DE0792" w:rsidRPr="00A01C15" w:rsidRDefault="00DE0792" w:rsidP="00A01C15">
      <w:pPr>
        <w:spacing w:after="160" w:line="278" w:lineRule="auto"/>
        <w:ind w:left="720"/>
        <w:jc w:val="both"/>
      </w:pPr>
      <w:r w:rsidRPr="00A01C15">
        <w:t>(d) Security control implementation requirements aligned to the approved security artifacts from Phase 3;</w:t>
      </w:r>
    </w:p>
    <w:p w14:paraId="14B16619" w14:textId="77777777" w:rsidR="00DE0792" w:rsidRPr="00A01C15" w:rsidRDefault="00DE0792" w:rsidP="00A01C15">
      <w:pPr>
        <w:spacing w:after="160" w:line="278" w:lineRule="auto"/>
        <w:ind w:left="720"/>
        <w:jc w:val="both"/>
      </w:pPr>
      <w:r w:rsidRPr="00A01C15">
        <w:t>(e) Test and acceptance plan (functional, performance, security);</w:t>
      </w:r>
    </w:p>
    <w:p w14:paraId="74A6935D" w14:textId="77777777" w:rsidR="00DE0792" w:rsidRPr="00A01C15" w:rsidRDefault="00DE0792" w:rsidP="00A01C15">
      <w:pPr>
        <w:spacing w:after="160" w:line="278" w:lineRule="auto"/>
        <w:ind w:left="720"/>
        <w:jc w:val="both"/>
      </w:pPr>
      <w:r w:rsidRPr="00A01C15">
        <w:t>(f) Data migration and reconciliation approach, including data quality gates;</w:t>
      </w:r>
    </w:p>
    <w:p w14:paraId="35703F29" w14:textId="77777777" w:rsidR="00DE0792" w:rsidRPr="00A01C15" w:rsidRDefault="00DE0792" w:rsidP="00A01C15">
      <w:pPr>
        <w:spacing w:after="160" w:line="278" w:lineRule="auto"/>
        <w:ind w:left="720"/>
        <w:jc w:val="both"/>
      </w:pPr>
      <w:r w:rsidRPr="00A01C15">
        <w:t>(g) Training and knowledge transfer plan;</w:t>
      </w:r>
    </w:p>
    <w:p w14:paraId="2E33E2C9" w14:textId="77777777" w:rsidR="00DE0792" w:rsidRPr="00A01C15" w:rsidRDefault="00DE0792" w:rsidP="00A01C15">
      <w:pPr>
        <w:spacing w:after="160" w:line="278" w:lineRule="auto"/>
        <w:ind w:left="720"/>
        <w:jc w:val="both"/>
      </w:pPr>
      <w:r w:rsidRPr="00A01C15">
        <w:t>(h) Operational readiness requirements (monitoring, backup/restore, incident procedures);</w:t>
      </w:r>
    </w:p>
    <w:p w14:paraId="178FF929" w14:textId="77777777" w:rsidR="00DE0792" w:rsidRPr="00A01C15" w:rsidRDefault="00DE0792" w:rsidP="00A01C15">
      <w:pPr>
        <w:spacing w:after="160" w:line="278" w:lineRule="auto"/>
        <w:ind w:left="720"/>
        <w:jc w:val="both"/>
      </w:pPr>
      <w:r w:rsidRPr="00A01C15">
        <w:t>(</w:t>
      </w:r>
      <w:proofErr w:type="spellStart"/>
      <w:r w:rsidRPr="00A01C15">
        <w:t>i</w:t>
      </w:r>
      <w:proofErr w:type="spellEnd"/>
      <w:r w:rsidRPr="00A01C15">
        <w:t>) Warranty and early-life support requirements and SLAs;</w:t>
      </w:r>
    </w:p>
    <w:p w14:paraId="09565FF5" w14:textId="77777777" w:rsidR="00DE0792" w:rsidRPr="00A01C15" w:rsidRDefault="00DE0792" w:rsidP="00A01C15">
      <w:pPr>
        <w:spacing w:after="160" w:line="278" w:lineRule="auto"/>
        <w:ind w:left="720"/>
        <w:jc w:val="both"/>
      </w:pPr>
      <w:r w:rsidRPr="00A01C15">
        <w:t>(j) Deliverables and payment milestones; and</w:t>
      </w:r>
    </w:p>
    <w:p w14:paraId="51ABE71C" w14:textId="77777777" w:rsidR="00DE0792" w:rsidRPr="00A01C15" w:rsidRDefault="00DE0792" w:rsidP="00A01C15">
      <w:pPr>
        <w:spacing w:after="160" w:line="278" w:lineRule="auto"/>
        <w:ind w:left="720"/>
        <w:jc w:val="both"/>
      </w:pPr>
      <w:r w:rsidRPr="00A01C15">
        <w:t>(k) Minimum qualification requirements for the implementer.</w:t>
      </w:r>
    </w:p>
    <w:p w14:paraId="4ACE0459" w14:textId="77777777" w:rsidR="00DE0792" w:rsidRPr="00A01C15" w:rsidRDefault="00DE0792" w:rsidP="00A01C15">
      <w:pPr>
        <w:spacing w:after="160" w:line="278" w:lineRule="auto"/>
        <w:jc w:val="both"/>
      </w:pPr>
      <w:r w:rsidRPr="00A01C15">
        <w:t xml:space="preserve">Note: The Implementation </w:t>
      </w:r>
      <w:proofErr w:type="spellStart"/>
      <w:r w:rsidRPr="00A01C15">
        <w:t>ToR</w:t>
      </w:r>
      <w:proofErr w:type="spellEnd"/>
      <w:r w:rsidRPr="00A01C15">
        <w:t xml:space="preserve"> shall be technology-neutral and use "or equivalent" language where specific products are referenced.</w:t>
      </w:r>
    </w:p>
    <w:p w14:paraId="5C89A8BE" w14:textId="77777777" w:rsidR="00DE0792" w:rsidRPr="00A01C15" w:rsidRDefault="00DE0792" w:rsidP="00A01C15">
      <w:pPr>
        <w:spacing w:after="160" w:line="278" w:lineRule="auto"/>
        <w:jc w:val="both"/>
      </w:pPr>
      <w:r w:rsidRPr="00A01C15">
        <w:t xml:space="preserve">To avoid actual or perceived conflict of interest, the Firm selected under this RFP, its affiliates, and any entity under common control shall be ineligible to participate (as prime or sub-consultant) in any subsequent procurement for implementation services that is based materially on the Implementation </w:t>
      </w:r>
      <w:proofErr w:type="spellStart"/>
      <w:r w:rsidRPr="00A01C15">
        <w:t>ToR</w:t>
      </w:r>
      <w:proofErr w:type="spellEnd"/>
      <w:r w:rsidRPr="00A01C15">
        <w:t xml:space="preserve"> produced under this assignment, unless the Client confirms otherwise in writing and in compliance with applicable procurement regulations.</w:t>
      </w:r>
    </w:p>
    <w:p w14:paraId="281B55C5" w14:textId="77777777" w:rsidR="00DE0792" w:rsidRPr="00A01C15" w:rsidRDefault="00DE0792" w:rsidP="00A01C15">
      <w:pPr>
        <w:spacing w:after="160" w:line="278" w:lineRule="auto"/>
        <w:jc w:val="both"/>
        <w:rPr>
          <w:b/>
          <w:bCs/>
        </w:rPr>
      </w:pPr>
      <w:r w:rsidRPr="00A01C15">
        <w:t xml:space="preserve">   </w:t>
      </w:r>
      <w:r w:rsidRPr="00A01C15">
        <w:rPr>
          <w:b/>
          <w:bCs/>
        </w:rPr>
        <w:t xml:space="preserve"> Phase 5 – Documentation, Reporting, and Capacity Strengthening</w:t>
      </w:r>
    </w:p>
    <w:p w14:paraId="3BB62AC0" w14:textId="77777777" w:rsidR="00DE0792" w:rsidRPr="00A01C15" w:rsidRDefault="00DE0792" w:rsidP="00A01C15">
      <w:pPr>
        <w:tabs>
          <w:tab w:val="left" w:pos="810"/>
          <w:tab w:val="left" w:pos="1080"/>
        </w:tabs>
        <w:spacing w:after="160" w:line="278" w:lineRule="auto"/>
        <w:ind w:left="1074" w:hanging="264"/>
        <w:jc w:val="both"/>
      </w:pPr>
      <w:r w:rsidRPr="00A01C15">
        <w:t>1.</w:t>
      </w:r>
      <w:r w:rsidRPr="00A01C15">
        <w:tab/>
        <w:t xml:space="preserve">Prepare comprehensive technical documentation summarizing current system issues, resolutions, and best practices. </w:t>
      </w:r>
    </w:p>
    <w:p w14:paraId="5692ECD4" w14:textId="77777777" w:rsidR="00DE0792" w:rsidRPr="00A01C15" w:rsidRDefault="00DE0792" w:rsidP="00A01C15">
      <w:pPr>
        <w:tabs>
          <w:tab w:val="left" w:pos="810"/>
          <w:tab w:val="left" w:pos="1080"/>
        </w:tabs>
        <w:spacing w:after="160" w:line="278" w:lineRule="auto"/>
        <w:ind w:left="1074" w:hanging="264"/>
        <w:jc w:val="both"/>
      </w:pPr>
      <w:r w:rsidRPr="00A01C15">
        <w:t>2.</w:t>
      </w:r>
      <w:r w:rsidRPr="00A01C15">
        <w:tab/>
        <w:t xml:space="preserve">Develop SOPs for ongoing data validation, reconciliation, and system maintenance Acceptance criteria and sign-off </w:t>
      </w:r>
      <w:proofErr w:type="gramStart"/>
      <w:r w:rsidRPr="00A01C15">
        <w:t>templates..</w:t>
      </w:r>
      <w:proofErr w:type="gramEnd"/>
    </w:p>
    <w:p w14:paraId="5D945C20" w14:textId="77777777" w:rsidR="00DE0792" w:rsidRPr="00A01C15" w:rsidRDefault="00DE0792" w:rsidP="00A01C15">
      <w:pPr>
        <w:tabs>
          <w:tab w:val="left" w:pos="810"/>
          <w:tab w:val="left" w:pos="1080"/>
        </w:tabs>
        <w:spacing w:after="160" w:line="278" w:lineRule="auto"/>
        <w:ind w:left="1074" w:hanging="264"/>
        <w:jc w:val="both"/>
      </w:pPr>
      <w:r w:rsidRPr="00A01C15">
        <w:t>3. Provide recommendations to enhance DSAID's institutional capacity for future system          management and integration. [</w:t>
      </w:r>
      <w:proofErr w:type="gramStart"/>
      <w:r w:rsidRPr="00A01C15">
        <w:t>role based</w:t>
      </w:r>
      <w:proofErr w:type="gramEnd"/>
      <w:r w:rsidRPr="00A01C15">
        <w:t xml:space="preserve"> training plan]</w:t>
      </w:r>
    </w:p>
    <w:p w14:paraId="1F9F3309" w14:textId="77777777" w:rsidR="00DE0792" w:rsidRPr="00A01C15" w:rsidRDefault="00DE0792" w:rsidP="00A01C15">
      <w:pPr>
        <w:tabs>
          <w:tab w:val="left" w:pos="810"/>
          <w:tab w:val="left" w:pos="1080"/>
        </w:tabs>
        <w:spacing w:after="160" w:line="278" w:lineRule="auto"/>
        <w:ind w:left="1074" w:hanging="264"/>
        <w:jc w:val="both"/>
      </w:pPr>
      <w:r w:rsidRPr="00A01C15">
        <w:t>4.</w:t>
      </w:r>
      <w:r w:rsidRPr="00A01C15">
        <w:tab/>
        <w:t>Present a consolidated final report capturing diagnostic findings.</w:t>
      </w:r>
    </w:p>
    <w:p w14:paraId="397599F7" w14:textId="77777777" w:rsidR="00DE0792" w:rsidRPr="00A01C15" w:rsidRDefault="00DE0792" w:rsidP="00A01C15">
      <w:pPr>
        <w:pStyle w:val="font-claude-response-body"/>
        <w:jc w:val="both"/>
      </w:pPr>
      <w:r w:rsidRPr="00A01C15">
        <w:lastRenderedPageBreak/>
        <w:t>The Client shall provide an initial inventory of the in-scope data sources prior to or at contract signing. For each source, Annex A shall include at minimum: system name, owner agency, system purpose, interface types available (API / database / file export), refresh frequency, approximate volume (records/day or GB/day), sensitivity classification (if available), and known constraints. The Firm shall validate and update Annex A during Phase 1 and submit an updated Annex A for Client approval.</w:t>
      </w:r>
    </w:p>
    <w:p w14:paraId="6FA06D52" w14:textId="77777777" w:rsidR="00DE0792" w:rsidRPr="00A01C15" w:rsidRDefault="00DE0792" w:rsidP="00A01C15">
      <w:pPr>
        <w:pStyle w:val="font-claude-response-body"/>
        <w:jc w:val="both"/>
      </w:pPr>
      <w:r w:rsidRPr="00A01C15">
        <w:t>For purposes of this assignment, a "data source" means a distinct operational system or authoritative dataset with an identifiable owner agency and a distinct interface boundary.</w:t>
      </w:r>
    </w:p>
    <w:p w14:paraId="788EE5C3" w14:textId="77777777" w:rsidR="00DE0792" w:rsidRPr="00A01C15" w:rsidRDefault="00DE0792" w:rsidP="00A01C15">
      <w:pPr>
        <w:jc w:val="both"/>
        <w:rPr>
          <w:b/>
          <w:i/>
        </w:rPr>
      </w:pPr>
    </w:p>
    <w:p w14:paraId="1D11572A" w14:textId="77777777" w:rsidR="00DE0792" w:rsidRPr="00A01C15" w:rsidRDefault="00DE0792" w:rsidP="00A01C15">
      <w:pPr>
        <w:pStyle w:val="ListParagraph"/>
        <w:numPr>
          <w:ilvl w:val="0"/>
          <w:numId w:val="1"/>
        </w:numPr>
        <w:ind w:left="360"/>
        <w:jc w:val="both"/>
        <w:rPr>
          <w:b/>
          <w:i/>
        </w:rPr>
      </w:pPr>
      <w:r w:rsidRPr="00A01C15">
        <w:rPr>
          <w:b/>
          <w:i/>
        </w:rPr>
        <w:t>Team Composition &amp; Qualification Requirements for the Key Experts (and any other requirements which will be used for evaluating the Key Experts under Data Sheet 21.1 of the ITC)</w:t>
      </w:r>
      <w:r w:rsidRPr="00A01C15">
        <w:rPr>
          <w:b/>
        </w:rPr>
        <w:t xml:space="preserve"> </w:t>
      </w:r>
    </w:p>
    <w:p w14:paraId="3D499A55" w14:textId="77777777" w:rsidR="00DE0792" w:rsidRPr="00A01C15" w:rsidRDefault="00DE0792" w:rsidP="00A01C15">
      <w:pPr>
        <w:pStyle w:val="ListParagraph"/>
        <w:ind w:left="360"/>
        <w:jc w:val="both"/>
        <w:rPr>
          <w:b/>
        </w:rPr>
      </w:pPr>
    </w:p>
    <w:p w14:paraId="4BB291EF" w14:textId="77777777" w:rsidR="00DE0792" w:rsidRPr="00A01C15" w:rsidRDefault="00DE0792" w:rsidP="00A01C15">
      <w:pPr>
        <w:pStyle w:val="ListParagraph"/>
        <w:ind w:left="360"/>
        <w:jc w:val="both"/>
      </w:pPr>
      <w:r w:rsidRPr="00A01C15">
        <w:t>The Firm shall provide a staffing plan allocating time input (person-days or person-months) by role across each deliverable and phase, consistent with Form TECH-6. The staffing plan shall show when each role will be engaged and the expected on-site versus remote inputs.</w:t>
      </w:r>
    </w:p>
    <w:p w14:paraId="1C955C9C" w14:textId="77777777" w:rsidR="00DE0792" w:rsidRPr="00A01C15" w:rsidRDefault="00DE0792" w:rsidP="00A01C15">
      <w:pPr>
        <w:jc w:val="both"/>
        <w:rPr>
          <w:b/>
          <w:iCs/>
        </w:rPr>
      </w:pPr>
    </w:p>
    <w:p w14:paraId="290E9DE5" w14:textId="77777777" w:rsidR="00DE0792" w:rsidRPr="00A01C15" w:rsidRDefault="00DE0792" w:rsidP="00A01C15">
      <w:pPr>
        <w:pStyle w:val="ListParagraph"/>
        <w:ind w:left="360"/>
        <w:jc w:val="both"/>
        <w:rPr>
          <w:b/>
          <w:iCs/>
        </w:rPr>
      </w:pPr>
      <w:r w:rsidRPr="00A01C15">
        <w:rPr>
          <w:b/>
          <w:iCs/>
        </w:rPr>
        <w:t>Team Composition &amp; Qualification Requirements:</w:t>
      </w:r>
    </w:p>
    <w:p w14:paraId="30CC3023" w14:textId="77777777" w:rsidR="00DE0792" w:rsidRPr="00A01C15" w:rsidRDefault="00DE0792" w:rsidP="00A01C15">
      <w:pPr>
        <w:pStyle w:val="ListParagraph"/>
        <w:ind w:left="360"/>
        <w:jc w:val="both"/>
        <w:rPr>
          <w:b/>
          <w:iCs/>
        </w:rPr>
      </w:pPr>
    </w:p>
    <w:p w14:paraId="245F6F4E" w14:textId="77777777" w:rsidR="00DE0792" w:rsidRPr="00A01C15" w:rsidRDefault="00DE0792" w:rsidP="00A01C15">
      <w:pPr>
        <w:pStyle w:val="ListParagraph"/>
        <w:ind w:left="360"/>
        <w:jc w:val="both"/>
        <w:rPr>
          <w:b/>
          <w:bCs/>
          <w:iCs/>
        </w:rPr>
      </w:pPr>
      <w:r w:rsidRPr="00A01C15">
        <w:rPr>
          <w:b/>
          <w:iCs/>
        </w:rPr>
        <w:t xml:space="preserve">1. </w:t>
      </w:r>
      <w:r w:rsidRPr="00A01C15">
        <w:rPr>
          <w:b/>
          <w:bCs/>
          <w:iCs/>
        </w:rPr>
        <w:t>Data Architect (Team Leader)</w:t>
      </w:r>
    </w:p>
    <w:p w14:paraId="7C3DCCD6" w14:textId="77777777" w:rsidR="00DE0792" w:rsidRPr="00A01C15" w:rsidRDefault="00DE0792" w:rsidP="00A01C15">
      <w:pPr>
        <w:pStyle w:val="ListParagraph"/>
        <w:ind w:left="360"/>
        <w:jc w:val="both"/>
        <w:rPr>
          <w:b/>
          <w:bCs/>
          <w:iCs/>
        </w:rPr>
      </w:pPr>
    </w:p>
    <w:p w14:paraId="69E83536" w14:textId="77777777" w:rsidR="00DE0792" w:rsidRPr="00A01C15" w:rsidRDefault="00DE0792" w:rsidP="00A01C15">
      <w:pPr>
        <w:pStyle w:val="ListParagraph"/>
        <w:ind w:left="360"/>
        <w:jc w:val="both"/>
        <w:rPr>
          <w:b/>
          <w:i/>
        </w:rPr>
      </w:pPr>
      <w:r w:rsidRPr="00A01C15">
        <w:rPr>
          <w:b/>
          <w:bCs/>
        </w:rPr>
        <w:t>Qualifications</w:t>
      </w:r>
    </w:p>
    <w:p w14:paraId="0C4E420B" w14:textId="77777777" w:rsidR="00DE0792" w:rsidRPr="00A01C15" w:rsidRDefault="00DE0792" w:rsidP="00A01C15">
      <w:pPr>
        <w:pStyle w:val="ListParagraph"/>
        <w:numPr>
          <w:ilvl w:val="0"/>
          <w:numId w:val="7"/>
        </w:numPr>
        <w:jc w:val="both"/>
        <w:rPr>
          <w:bCs/>
          <w:iCs/>
        </w:rPr>
      </w:pPr>
      <w:r w:rsidRPr="00A01C15">
        <w:rPr>
          <w:bCs/>
          <w:iCs/>
        </w:rPr>
        <w:t>At least a Master’s degree in Computer Science, Software Engineering, Information Technology, or a closely related field.</w:t>
      </w:r>
    </w:p>
    <w:p w14:paraId="31486947" w14:textId="77777777" w:rsidR="00DE0792" w:rsidRPr="00A01C15" w:rsidRDefault="00DE0792" w:rsidP="00A01C15">
      <w:pPr>
        <w:jc w:val="both"/>
        <w:rPr>
          <w:bCs/>
          <w:iCs/>
        </w:rPr>
      </w:pPr>
    </w:p>
    <w:p w14:paraId="41FB94FF" w14:textId="77777777" w:rsidR="00DE0792" w:rsidRPr="00A01C15" w:rsidRDefault="00DE0792" w:rsidP="00A01C15">
      <w:pPr>
        <w:pStyle w:val="ListParagraph"/>
        <w:numPr>
          <w:ilvl w:val="0"/>
          <w:numId w:val="7"/>
        </w:numPr>
        <w:jc w:val="both"/>
        <w:rPr>
          <w:bCs/>
          <w:iCs/>
        </w:rPr>
      </w:pPr>
      <w:r w:rsidRPr="00A01C15">
        <w:rPr>
          <w:bCs/>
          <w:iCs/>
        </w:rPr>
        <w:t>Advanced certifications in Database Administration, Data Architecture, Business Intelligence, or System Integration (e.g., Teradata Certified Professional, Oracle DBA, Microsoft MCDBA/MCSE) will be preferred.</w:t>
      </w:r>
    </w:p>
    <w:p w14:paraId="6B8FCA0F" w14:textId="77777777" w:rsidR="00DE0792" w:rsidRPr="00A01C15" w:rsidRDefault="00DE0792" w:rsidP="00A01C15">
      <w:pPr>
        <w:jc w:val="both"/>
        <w:rPr>
          <w:bCs/>
          <w:iCs/>
        </w:rPr>
      </w:pPr>
    </w:p>
    <w:p w14:paraId="06478FF9" w14:textId="77777777" w:rsidR="00DE0792" w:rsidRPr="00A01C15" w:rsidRDefault="00DE0792" w:rsidP="00A01C15">
      <w:pPr>
        <w:ind w:firstLine="360"/>
        <w:jc w:val="both"/>
        <w:rPr>
          <w:b/>
          <w:iCs/>
        </w:rPr>
      </w:pPr>
      <w:r w:rsidRPr="00A01C15">
        <w:rPr>
          <w:b/>
          <w:iCs/>
        </w:rPr>
        <w:t>Experience</w:t>
      </w:r>
    </w:p>
    <w:p w14:paraId="026AF3F1" w14:textId="77777777" w:rsidR="00DE0792" w:rsidRPr="00A01C15" w:rsidRDefault="00DE0792" w:rsidP="00A01C15">
      <w:pPr>
        <w:jc w:val="both"/>
        <w:rPr>
          <w:bCs/>
          <w:iCs/>
        </w:rPr>
      </w:pPr>
    </w:p>
    <w:p w14:paraId="5C1D05AB" w14:textId="77777777" w:rsidR="00DE0792" w:rsidRPr="00A01C15" w:rsidRDefault="00DE0792" w:rsidP="00A01C15">
      <w:pPr>
        <w:pStyle w:val="ListParagraph"/>
        <w:numPr>
          <w:ilvl w:val="0"/>
          <w:numId w:val="8"/>
        </w:numPr>
        <w:jc w:val="both"/>
        <w:rPr>
          <w:bCs/>
          <w:iCs/>
        </w:rPr>
      </w:pPr>
      <w:r w:rsidRPr="00A01C15">
        <w:rPr>
          <w:bCs/>
          <w:iCs/>
        </w:rPr>
        <w:t>Minimum 10 years of verifiable experience in data architecture, database management, ERP systems, and digital transformation projects.</w:t>
      </w:r>
    </w:p>
    <w:p w14:paraId="606F55E6" w14:textId="77777777" w:rsidR="00DE0792" w:rsidRPr="00A01C15" w:rsidRDefault="00DE0792" w:rsidP="00A01C15">
      <w:pPr>
        <w:pStyle w:val="ListParagraph"/>
        <w:numPr>
          <w:ilvl w:val="0"/>
          <w:numId w:val="8"/>
        </w:numPr>
        <w:jc w:val="both"/>
        <w:rPr>
          <w:bCs/>
          <w:iCs/>
        </w:rPr>
      </w:pPr>
      <w:r w:rsidRPr="00A01C15">
        <w:rPr>
          <w:bCs/>
          <w:iCs/>
        </w:rPr>
        <w:t>Demonstrated experience in designing, reviewing, and optimizing large-scale data systems, preferably in the public sector.</w:t>
      </w:r>
    </w:p>
    <w:p w14:paraId="2A3F5529" w14:textId="77777777" w:rsidR="00DE0792" w:rsidRPr="00A01C15" w:rsidRDefault="00DE0792" w:rsidP="00A01C15">
      <w:pPr>
        <w:pStyle w:val="ListParagraph"/>
        <w:numPr>
          <w:ilvl w:val="0"/>
          <w:numId w:val="8"/>
        </w:numPr>
        <w:jc w:val="both"/>
        <w:rPr>
          <w:bCs/>
          <w:iCs/>
        </w:rPr>
      </w:pPr>
      <w:r w:rsidRPr="00A01C15">
        <w:rPr>
          <w:bCs/>
          <w:iCs/>
        </w:rPr>
        <w:t>Proven track record of analyzing and improving database structures, validation frameworks.</w:t>
      </w:r>
    </w:p>
    <w:p w14:paraId="5AB2E25B" w14:textId="77777777" w:rsidR="00DE0792" w:rsidRPr="00A01C15" w:rsidRDefault="00DE0792" w:rsidP="00A01C15">
      <w:pPr>
        <w:pStyle w:val="ListParagraph"/>
        <w:numPr>
          <w:ilvl w:val="0"/>
          <w:numId w:val="8"/>
        </w:numPr>
        <w:jc w:val="both"/>
        <w:rPr>
          <w:bCs/>
          <w:iCs/>
        </w:rPr>
      </w:pPr>
      <w:r w:rsidRPr="00A01C15">
        <w:rPr>
          <w:bCs/>
          <w:iCs/>
        </w:rPr>
        <w:t>Experience working with API-based systems, data integration frameworks, and multi-stakeholder technical environments.</w:t>
      </w:r>
    </w:p>
    <w:p w14:paraId="1BA29C72" w14:textId="77777777" w:rsidR="00DE0792" w:rsidRPr="00A01C15" w:rsidRDefault="00DE0792" w:rsidP="00A01C15">
      <w:pPr>
        <w:pStyle w:val="ListParagraph"/>
        <w:numPr>
          <w:ilvl w:val="0"/>
          <w:numId w:val="8"/>
        </w:numPr>
        <w:jc w:val="both"/>
        <w:rPr>
          <w:bCs/>
          <w:iCs/>
        </w:rPr>
      </w:pPr>
      <w:r w:rsidRPr="00A01C15">
        <w:rPr>
          <w:bCs/>
          <w:iCs/>
        </w:rPr>
        <w:t>Prior involvement in assignments requiring coordination with World Bank–funded or donor-supported programs will be an added advantage.</w:t>
      </w:r>
    </w:p>
    <w:p w14:paraId="48587DA8" w14:textId="77777777" w:rsidR="00DE0792" w:rsidRPr="00A01C15" w:rsidRDefault="00DE0792" w:rsidP="00A01C15">
      <w:pPr>
        <w:ind w:firstLine="360"/>
        <w:jc w:val="both"/>
        <w:rPr>
          <w:b/>
          <w:iCs/>
        </w:rPr>
      </w:pPr>
      <w:r w:rsidRPr="00A01C15">
        <w:rPr>
          <w:b/>
          <w:iCs/>
        </w:rPr>
        <w:t>Skills</w:t>
      </w:r>
    </w:p>
    <w:p w14:paraId="05D9715F" w14:textId="77777777" w:rsidR="00DE0792" w:rsidRPr="00A01C15" w:rsidRDefault="00DE0792" w:rsidP="00A01C15">
      <w:pPr>
        <w:pStyle w:val="ListParagraph"/>
        <w:numPr>
          <w:ilvl w:val="0"/>
          <w:numId w:val="9"/>
        </w:numPr>
        <w:jc w:val="both"/>
        <w:rPr>
          <w:b/>
          <w:iCs/>
        </w:rPr>
      </w:pPr>
      <w:r w:rsidRPr="00A01C15">
        <w:rPr>
          <w:bCs/>
          <w:iCs/>
        </w:rPr>
        <w:t>Strong command of database design, optimization, and data migration techniques (Teradata, Oracle, PostgreSQL, or similar RDBMS).</w:t>
      </w:r>
    </w:p>
    <w:p w14:paraId="01DF0D1A" w14:textId="77777777" w:rsidR="00DE0792" w:rsidRPr="00A01C15" w:rsidRDefault="00DE0792" w:rsidP="00A01C15">
      <w:pPr>
        <w:pStyle w:val="ListParagraph"/>
        <w:numPr>
          <w:ilvl w:val="0"/>
          <w:numId w:val="9"/>
        </w:numPr>
        <w:jc w:val="both"/>
        <w:rPr>
          <w:b/>
          <w:iCs/>
        </w:rPr>
      </w:pPr>
      <w:r w:rsidRPr="00A01C15">
        <w:rPr>
          <w:bCs/>
          <w:iCs/>
        </w:rPr>
        <w:lastRenderedPageBreak/>
        <w:t>Excellent knowledge of data quality assurance, validation frameworks, and business rule implementation.</w:t>
      </w:r>
    </w:p>
    <w:p w14:paraId="65064BC6" w14:textId="77777777" w:rsidR="00DE0792" w:rsidRPr="00A01C15" w:rsidRDefault="00DE0792" w:rsidP="00A01C15">
      <w:pPr>
        <w:pStyle w:val="ListParagraph"/>
        <w:numPr>
          <w:ilvl w:val="0"/>
          <w:numId w:val="9"/>
        </w:numPr>
        <w:jc w:val="both"/>
        <w:rPr>
          <w:b/>
          <w:iCs/>
        </w:rPr>
      </w:pPr>
      <w:r w:rsidRPr="00A01C15">
        <w:rPr>
          <w:bCs/>
          <w:iCs/>
        </w:rPr>
        <w:t>Familiarity with system audit trails, reconciliation reports, and data verification procedures.</w:t>
      </w:r>
    </w:p>
    <w:p w14:paraId="3D95E704" w14:textId="77777777" w:rsidR="00DE0792" w:rsidRPr="00A01C15" w:rsidRDefault="00DE0792" w:rsidP="00A01C15">
      <w:pPr>
        <w:pStyle w:val="ListParagraph"/>
        <w:numPr>
          <w:ilvl w:val="0"/>
          <w:numId w:val="9"/>
        </w:numPr>
        <w:jc w:val="both"/>
        <w:rPr>
          <w:b/>
          <w:iCs/>
        </w:rPr>
      </w:pPr>
      <w:r w:rsidRPr="00A01C15">
        <w:rPr>
          <w:bCs/>
          <w:iCs/>
        </w:rPr>
        <w:t>Proficiency in SQL scripting, stored procedures, and data performance tuning.</w:t>
      </w:r>
    </w:p>
    <w:p w14:paraId="3ACC4724" w14:textId="77777777" w:rsidR="00DE0792" w:rsidRPr="00A01C15" w:rsidRDefault="00DE0792" w:rsidP="00A01C15">
      <w:pPr>
        <w:pStyle w:val="ListParagraph"/>
        <w:numPr>
          <w:ilvl w:val="0"/>
          <w:numId w:val="9"/>
        </w:numPr>
        <w:jc w:val="both"/>
        <w:rPr>
          <w:b/>
          <w:iCs/>
        </w:rPr>
      </w:pPr>
      <w:r w:rsidRPr="00A01C15">
        <w:rPr>
          <w:bCs/>
          <w:iCs/>
        </w:rPr>
        <w:t>Strong analytical, problem-solving, and technical documentation skills.</w:t>
      </w:r>
    </w:p>
    <w:p w14:paraId="49D1FCE1" w14:textId="77777777" w:rsidR="00DE0792" w:rsidRPr="00A01C15" w:rsidRDefault="00DE0792" w:rsidP="00A01C15">
      <w:pPr>
        <w:pStyle w:val="ListParagraph"/>
        <w:numPr>
          <w:ilvl w:val="0"/>
          <w:numId w:val="9"/>
        </w:numPr>
        <w:jc w:val="both"/>
        <w:rPr>
          <w:b/>
          <w:iCs/>
        </w:rPr>
      </w:pPr>
      <w:r w:rsidRPr="00A01C15">
        <w:rPr>
          <w:bCs/>
          <w:iCs/>
        </w:rPr>
        <w:t>Effective communication, coordination, and stakeholder management capabilities.</w:t>
      </w:r>
    </w:p>
    <w:p w14:paraId="14CABDCC" w14:textId="77777777" w:rsidR="009551E0" w:rsidRPr="00A01C15" w:rsidRDefault="009551E0" w:rsidP="00A01C15">
      <w:pPr>
        <w:jc w:val="both"/>
        <w:rPr>
          <w:b/>
          <w:iCs/>
        </w:rPr>
      </w:pPr>
    </w:p>
    <w:p w14:paraId="1D7F1E58" w14:textId="77777777" w:rsidR="009551E0" w:rsidRPr="00A01C15" w:rsidRDefault="009551E0" w:rsidP="00A01C15">
      <w:pPr>
        <w:jc w:val="both"/>
        <w:rPr>
          <w:b/>
          <w:iCs/>
        </w:rPr>
      </w:pPr>
    </w:p>
    <w:p w14:paraId="333F5D24" w14:textId="77777777" w:rsidR="009551E0" w:rsidRPr="00A01C15" w:rsidRDefault="009551E0" w:rsidP="00A01C15">
      <w:pPr>
        <w:jc w:val="both"/>
        <w:rPr>
          <w:b/>
          <w:iCs/>
        </w:rPr>
      </w:pPr>
    </w:p>
    <w:p w14:paraId="17DF248C" w14:textId="77777777" w:rsidR="00DE0792" w:rsidRPr="00A01C15" w:rsidRDefault="00DE0792" w:rsidP="00A01C15">
      <w:pPr>
        <w:pStyle w:val="ListParagraph"/>
        <w:ind w:left="360"/>
        <w:jc w:val="both"/>
        <w:rPr>
          <w:b/>
          <w:i/>
        </w:rPr>
      </w:pPr>
    </w:p>
    <w:p w14:paraId="6689DC68" w14:textId="77777777" w:rsidR="00DE0792" w:rsidRPr="00A01C15" w:rsidRDefault="00DE0792" w:rsidP="00A01C15">
      <w:pPr>
        <w:pStyle w:val="ListParagraph"/>
        <w:ind w:left="360"/>
        <w:jc w:val="both"/>
        <w:rPr>
          <w:b/>
          <w:iCs/>
        </w:rPr>
      </w:pPr>
      <w:r w:rsidRPr="00A01C15">
        <w:rPr>
          <w:b/>
          <w:iCs/>
        </w:rPr>
        <w:t>2. Data Security &amp; Governance Specialist:</w:t>
      </w:r>
    </w:p>
    <w:p w14:paraId="51D981E8" w14:textId="77777777" w:rsidR="00DE0792" w:rsidRPr="00A01C15" w:rsidRDefault="00DE0792" w:rsidP="00A01C15">
      <w:pPr>
        <w:pStyle w:val="ListParagraph"/>
        <w:ind w:left="360"/>
        <w:jc w:val="both"/>
        <w:rPr>
          <w:b/>
          <w:iCs/>
        </w:rPr>
      </w:pPr>
    </w:p>
    <w:p w14:paraId="2059925A" w14:textId="77777777" w:rsidR="00DE0792" w:rsidRPr="00A01C15" w:rsidRDefault="00DE0792" w:rsidP="00A01C15">
      <w:pPr>
        <w:pStyle w:val="ListParagraph"/>
        <w:ind w:left="360"/>
        <w:jc w:val="both"/>
        <w:rPr>
          <w:b/>
          <w:iCs/>
        </w:rPr>
      </w:pPr>
      <w:r w:rsidRPr="00A01C15">
        <w:rPr>
          <w:b/>
          <w:iCs/>
        </w:rPr>
        <w:t>Qualifications</w:t>
      </w:r>
    </w:p>
    <w:p w14:paraId="27503DD8" w14:textId="77777777" w:rsidR="00DE0792" w:rsidRPr="00A01C15" w:rsidRDefault="00DE0792" w:rsidP="00A01C15">
      <w:pPr>
        <w:pStyle w:val="ListParagraph"/>
        <w:numPr>
          <w:ilvl w:val="0"/>
          <w:numId w:val="10"/>
        </w:numPr>
        <w:jc w:val="both"/>
        <w:rPr>
          <w:b/>
          <w:iCs/>
        </w:rPr>
      </w:pPr>
      <w:r w:rsidRPr="00A01C15">
        <w:rPr>
          <w:bCs/>
          <w:iCs/>
        </w:rPr>
        <w:t>Master’s or Bachelor’s degree in information technology, computer science, data science, or a related discipline.</w:t>
      </w:r>
    </w:p>
    <w:p w14:paraId="4C615552" w14:textId="77777777" w:rsidR="00DE0792" w:rsidRPr="00A01C15" w:rsidRDefault="00DE0792" w:rsidP="00A01C15">
      <w:pPr>
        <w:pStyle w:val="ListParagraph"/>
        <w:ind w:left="1080"/>
        <w:jc w:val="both"/>
        <w:rPr>
          <w:b/>
          <w:iCs/>
        </w:rPr>
      </w:pPr>
    </w:p>
    <w:p w14:paraId="4D12FA10" w14:textId="77777777" w:rsidR="00DE0792" w:rsidRPr="00A01C15" w:rsidRDefault="00DE0792" w:rsidP="00A01C15">
      <w:pPr>
        <w:ind w:firstLine="360"/>
        <w:jc w:val="both"/>
        <w:rPr>
          <w:b/>
          <w:iCs/>
        </w:rPr>
      </w:pPr>
      <w:r w:rsidRPr="00A01C15">
        <w:rPr>
          <w:b/>
          <w:iCs/>
        </w:rPr>
        <w:t>Experience</w:t>
      </w:r>
    </w:p>
    <w:p w14:paraId="6C101865" w14:textId="77777777" w:rsidR="00DE0792" w:rsidRPr="00A01C15" w:rsidRDefault="00DE0792" w:rsidP="00A01C15">
      <w:pPr>
        <w:pStyle w:val="ListParagraph"/>
        <w:numPr>
          <w:ilvl w:val="0"/>
          <w:numId w:val="10"/>
        </w:numPr>
        <w:jc w:val="both"/>
        <w:rPr>
          <w:bCs/>
          <w:iCs/>
        </w:rPr>
      </w:pPr>
      <w:r w:rsidRPr="00A01C15">
        <w:rPr>
          <w:bCs/>
          <w:iCs/>
        </w:rPr>
        <w:t>Minimum of 3 years of professional experience specifically focused on developing and implementing data governance frameworks, data classification strategies, and data quality initiatives.</w:t>
      </w:r>
    </w:p>
    <w:p w14:paraId="4084B9B3" w14:textId="77777777" w:rsidR="00DE0792" w:rsidRPr="00A01C15" w:rsidRDefault="00DE0792" w:rsidP="00A01C15">
      <w:pPr>
        <w:pStyle w:val="ListParagraph"/>
        <w:numPr>
          <w:ilvl w:val="0"/>
          <w:numId w:val="10"/>
        </w:numPr>
        <w:jc w:val="both"/>
        <w:rPr>
          <w:bCs/>
          <w:iCs/>
        </w:rPr>
      </w:pPr>
      <w:r w:rsidRPr="00A01C15">
        <w:rPr>
          <w:bCs/>
          <w:iCs/>
        </w:rPr>
        <w:t>Preference is given to candidates with experience working in government or public sector environments.</w:t>
      </w:r>
    </w:p>
    <w:p w14:paraId="3ED4EE28" w14:textId="77777777" w:rsidR="00DE0792" w:rsidRPr="00A01C15" w:rsidRDefault="00DE0792" w:rsidP="00A01C15">
      <w:pPr>
        <w:pStyle w:val="ListParagraph"/>
        <w:numPr>
          <w:ilvl w:val="0"/>
          <w:numId w:val="10"/>
        </w:numPr>
        <w:jc w:val="both"/>
        <w:rPr>
          <w:bCs/>
          <w:iCs/>
        </w:rPr>
      </w:pPr>
      <w:r w:rsidRPr="00A01C15">
        <w:rPr>
          <w:bCs/>
          <w:iCs/>
        </w:rPr>
        <w:t>Proven track record in managing data security and identity management within distributed systems.</w:t>
      </w:r>
    </w:p>
    <w:p w14:paraId="09C13E1D" w14:textId="77777777" w:rsidR="00DE0792" w:rsidRPr="00A01C15" w:rsidRDefault="00DE0792" w:rsidP="00A01C15">
      <w:pPr>
        <w:pStyle w:val="ListParagraph"/>
        <w:ind w:left="1080"/>
        <w:jc w:val="both"/>
        <w:rPr>
          <w:bCs/>
          <w:iCs/>
        </w:rPr>
      </w:pPr>
    </w:p>
    <w:p w14:paraId="5578A03F" w14:textId="77777777" w:rsidR="00DE0792" w:rsidRPr="00A01C15" w:rsidRDefault="00DE0792" w:rsidP="00A01C15">
      <w:pPr>
        <w:pStyle w:val="ListParagraph"/>
        <w:ind w:left="360"/>
        <w:jc w:val="both"/>
        <w:rPr>
          <w:b/>
          <w:iCs/>
        </w:rPr>
      </w:pPr>
      <w:r w:rsidRPr="00A01C15">
        <w:rPr>
          <w:b/>
          <w:iCs/>
        </w:rPr>
        <w:t>Skills</w:t>
      </w:r>
    </w:p>
    <w:p w14:paraId="0FA87631" w14:textId="77777777" w:rsidR="00DE0792" w:rsidRPr="00A01C15" w:rsidRDefault="00DE0792" w:rsidP="00A01C15">
      <w:pPr>
        <w:pStyle w:val="ListParagraph"/>
        <w:numPr>
          <w:ilvl w:val="0"/>
          <w:numId w:val="11"/>
        </w:numPr>
        <w:jc w:val="both"/>
        <w:rPr>
          <w:b/>
          <w:iCs/>
        </w:rPr>
      </w:pPr>
      <w:r w:rsidRPr="00A01C15">
        <w:rPr>
          <w:bCs/>
          <w:iCs/>
        </w:rPr>
        <w:t>Deep expertise in robust data security and identity management protocols, including Kerberos and LDAP or Active Directory integration.</w:t>
      </w:r>
    </w:p>
    <w:p w14:paraId="4CCAFF74" w14:textId="77777777" w:rsidR="00DE0792" w:rsidRPr="00A01C15" w:rsidRDefault="00DE0792" w:rsidP="00A01C15">
      <w:pPr>
        <w:pStyle w:val="ListParagraph"/>
        <w:numPr>
          <w:ilvl w:val="0"/>
          <w:numId w:val="11"/>
        </w:numPr>
        <w:jc w:val="both"/>
        <w:rPr>
          <w:b/>
          <w:iCs/>
        </w:rPr>
      </w:pPr>
      <w:r w:rsidRPr="00A01C15">
        <w:rPr>
          <w:bCs/>
          <w:iCs/>
        </w:rPr>
        <w:t>Technical proficiency in designing fine-grained authorization models such as role-based access control at the table, column, and row levels.</w:t>
      </w:r>
    </w:p>
    <w:p w14:paraId="22B6F430" w14:textId="77777777" w:rsidR="00DE0792" w:rsidRPr="00A01C15" w:rsidRDefault="00DE0792" w:rsidP="00A01C15">
      <w:pPr>
        <w:pStyle w:val="ListParagraph"/>
        <w:numPr>
          <w:ilvl w:val="0"/>
          <w:numId w:val="11"/>
        </w:numPr>
        <w:jc w:val="both"/>
        <w:rPr>
          <w:b/>
          <w:iCs/>
        </w:rPr>
      </w:pPr>
      <w:r w:rsidRPr="00A01C15">
        <w:rPr>
          <w:bCs/>
          <w:iCs/>
        </w:rPr>
        <w:t>Ability to implement data protection measures including encryption at rest and in transit, data masking, and pseudonymization.</w:t>
      </w:r>
    </w:p>
    <w:p w14:paraId="5FC29041" w14:textId="77777777" w:rsidR="00DE0792" w:rsidRPr="00A01C15" w:rsidRDefault="00DE0792" w:rsidP="00A01C15">
      <w:pPr>
        <w:pStyle w:val="ListParagraph"/>
        <w:numPr>
          <w:ilvl w:val="0"/>
          <w:numId w:val="11"/>
        </w:numPr>
        <w:jc w:val="both"/>
        <w:rPr>
          <w:b/>
          <w:iCs/>
        </w:rPr>
      </w:pPr>
      <w:r w:rsidRPr="00A01C15">
        <w:rPr>
          <w:bCs/>
          <w:iCs/>
        </w:rPr>
        <w:t xml:space="preserve">Hands-on experience using data governance and metadata tools like Apache Ranger, </w:t>
      </w:r>
      <w:proofErr w:type="spellStart"/>
      <w:r w:rsidRPr="00A01C15">
        <w:rPr>
          <w:bCs/>
          <w:iCs/>
        </w:rPr>
        <w:t>OpenMetadata</w:t>
      </w:r>
      <w:proofErr w:type="spellEnd"/>
      <w:r w:rsidRPr="00A01C15">
        <w:rPr>
          <w:bCs/>
          <w:iCs/>
        </w:rPr>
        <w:t>, data catalogs, and lineage tracking systems.</w:t>
      </w:r>
    </w:p>
    <w:p w14:paraId="4624FE01" w14:textId="77777777" w:rsidR="00DE0792" w:rsidRPr="00A01C15" w:rsidRDefault="00DE0792" w:rsidP="00A01C15">
      <w:pPr>
        <w:pStyle w:val="ListParagraph"/>
        <w:numPr>
          <w:ilvl w:val="0"/>
          <w:numId w:val="11"/>
        </w:numPr>
        <w:jc w:val="both"/>
        <w:rPr>
          <w:b/>
          <w:iCs/>
        </w:rPr>
      </w:pPr>
      <w:r w:rsidRPr="00A01C15">
        <w:rPr>
          <w:bCs/>
          <w:iCs/>
        </w:rPr>
        <w:t>Capability to translate legal and regulatory requirements, such as the Information, Communications and Media Act and the National Digital Identity Act, into technical design choices for storage and access layers.</w:t>
      </w:r>
    </w:p>
    <w:p w14:paraId="143157E3" w14:textId="77777777" w:rsidR="00DE0792" w:rsidRPr="00A01C15" w:rsidRDefault="00DE0792" w:rsidP="00A01C15">
      <w:pPr>
        <w:pStyle w:val="ListParagraph"/>
        <w:numPr>
          <w:ilvl w:val="0"/>
          <w:numId w:val="11"/>
        </w:numPr>
        <w:jc w:val="both"/>
        <w:rPr>
          <w:b/>
          <w:iCs/>
        </w:rPr>
      </w:pPr>
      <w:r w:rsidRPr="00A01C15">
        <w:rPr>
          <w:bCs/>
          <w:iCs/>
        </w:rPr>
        <w:t>Knowledge of system auditing, logging models, and the development of protocols for breach detection, reporting, and response.</w:t>
      </w:r>
    </w:p>
    <w:p w14:paraId="44056C0B" w14:textId="77777777" w:rsidR="00DE0792" w:rsidRPr="00A01C15" w:rsidRDefault="00DE0792" w:rsidP="00A01C15">
      <w:pPr>
        <w:pStyle w:val="ListParagraph"/>
        <w:numPr>
          <w:ilvl w:val="0"/>
          <w:numId w:val="11"/>
        </w:numPr>
        <w:jc w:val="both"/>
        <w:rPr>
          <w:b/>
          <w:iCs/>
        </w:rPr>
      </w:pPr>
      <w:r w:rsidRPr="00A01C15">
        <w:rPr>
          <w:bCs/>
          <w:iCs/>
        </w:rPr>
        <w:t>Skill in conducting comprehensive data protection impact assessments and applying privacy-by-design principles throughout the data lifecycle.</w:t>
      </w:r>
    </w:p>
    <w:p w14:paraId="1F0EADE7" w14:textId="77777777" w:rsidR="00DE0792" w:rsidRPr="00A01C15" w:rsidRDefault="00DE0792" w:rsidP="00A01C15">
      <w:pPr>
        <w:jc w:val="both"/>
        <w:rPr>
          <w:b/>
          <w:iCs/>
        </w:rPr>
      </w:pPr>
    </w:p>
    <w:p w14:paraId="11322A79" w14:textId="77777777" w:rsidR="00DE0792" w:rsidRPr="00A01C15" w:rsidRDefault="00DE0792" w:rsidP="00A01C15">
      <w:pPr>
        <w:pStyle w:val="ListParagraph"/>
        <w:ind w:left="360"/>
        <w:jc w:val="both"/>
        <w:rPr>
          <w:b/>
          <w:iCs/>
        </w:rPr>
      </w:pPr>
    </w:p>
    <w:p w14:paraId="4C94163C" w14:textId="77777777" w:rsidR="00DE0792" w:rsidRPr="00A01C15" w:rsidRDefault="00DE0792" w:rsidP="00A01C15">
      <w:pPr>
        <w:pStyle w:val="ListParagraph"/>
        <w:ind w:left="360"/>
        <w:jc w:val="both"/>
        <w:rPr>
          <w:b/>
          <w:iCs/>
        </w:rPr>
      </w:pPr>
      <w:r w:rsidRPr="00A01C15">
        <w:rPr>
          <w:b/>
          <w:iCs/>
        </w:rPr>
        <w:t>3. Data Integration &amp; Infrastructure Expert</w:t>
      </w:r>
    </w:p>
    <w:p w14:paraId="6825D110" w14:textId="77777777" w:rsidR="00DE0792" w:rsidRPr="00A01C15" w:rsidRDefault="00DE0792" w:rsidP="00A01C15">
      <w:pPr>
        <w:pStyle w:val="ListParagraph"/>
        <w:ind w:left="360"/>
        <w:jc w:val="both"/>
        <w:rPr>
          <w:b/>
          <w:iCs/>
        </w:rPr>
      </w:pPr>
    </w:p>
    <w:p w14:paraId="0DD247C7" w14:textId="77777777" w:rsidR="00DE0792" w:rsidRPr="00A01C15" w:rsidRDefault="00DE0792" w:rsidP="00A01C15">
      <w:pPr>
        <w:pStyle w:val="ListParagraph"/>
        <w:ind w:left="360"/>
        <w:jc w:val="both"/>
        <w:rPr>
          <w:b/>
          <w:iCs/>
        </w:rPr>
      </w:pPr>
      <w:r w:rsidRPr="00A01C15">
        <w:rPr>
          <w:b/>
          <w:iCs/>
        </w:rPr>
        <w:t>Qualifications</w:t>
      </w:r>
    </w:p>
    <w:p w14:paraId="57186586" w14:textId="77777777" w:rsidR="00DE0792" w:rsidRPr="00A01C15" w:rsidRDefault="00DE0792" w:rsidP="00A01C15">
      <w:pPr>
        <w:pStyle w:val="ListParagraph"/>
        <w:numPr>
          <w:ilvl w:val="0"/>
          <w:numId w:val="12"/>
        </w:numPr>
        <w:jc w:val="both"/>
        <w:rPr>
          <w:b/>
          <w:iCs/>
        </w:rPr>
      </w:pPr>
      <w:r w:rsidRPr="00A01C15">
        <w:rPr>
          <w:bCs/>
          <w:iCs/>
        </w:rPr>
        <w:t>Master’s or Bachelor’s degree in information Security, computer science, or a related field.</w:t>
      </w:r>
    </w:p>
    <w:p w14:paraId="5DFBA36A" w14:textId="77777777" w:rsidR="00DE0792" w:rsidRPr="00A01C15" w:rsidRDefault="00DE0792" w:rsidP="00A01C15">
      <w:pPr>
        <w:jc w:val="both"/>
        <w:rPr>
          <w:b/>
          <w:iCs/>
        </w:rPr>
      </w:pPr>
    </w:p>
    <w:p w14:paraId="19B8FC44" w14:textId="77777777" w:rsidR="00DE0792" w:rsidRPr="00A01C15" w:rsidRDefault="00DE0792" w:rsidP="00A01C15">
      <w:pPr>
        <w:ind w:firstLine="360"/>
        <w:jc w:val="both"/>
        <w:rPr>
          <w:b/>
          <w:iCs/>
        </w:rPr>
      </w:pPr>
      <w:r w:rsidRPr="00A01C15">
        <w:rPr>
          <w:b/>
          <w:bCs/>
          <w:iCs/>
        </w:rPr>
        <w:t>Experience</w:t>
      </w:r>
    </w:p>
    <w:p w14:paraId="68B27F9D" w14:textId="77777777" w:rsidR="00DE0792" w:rsidRPr="00A01C15" w:rsidRDefault="00DE0792" w:rsidP="00A01C15">
      <w:pPr>
        <w:pStyle w:val="ListParagraph"/>
        <w:numPr>
          <w:ilvl w:val="0"/>
          <w:numId w:val="12"/>
        </w:numPr>
        <w:jc w:val="both"/>
        <w:rPr>
          <w:b/>
          <w:iCs/>
        </w:rPr>
      </w:pPr>
      <w:r w:rsidRPr="00A01C15">
        <w:rPr>
          <w:iCs/>
        </w:rPr>
        <w:t>Extensive hands-on experience with core components of the modern data stack, specifically distributed object storage (</w:t>
      </w:r>
      <w:proofErr w:type="spellStart"/>
      <w:r w:rsidRPr="00A01C15">
        <w:rPr>
          <w:iCs/>
        </w:rPr>
        <w:t>MinIO</w:t>
      </w:r>
      <w:proofErr w:type="spellEnd"/>
      <w:r w:rsidRPr="00A01C15">
        <w:rPr>
          <w:iCs/>
        </w:rPr>
        <w:t>, S3), processing engines (Apache Spark), and MPP SQL query engines (Trino, Presto).</w:t>
      </w:r>
    </w:p>
    <w:p w14:paraId="22D68BBE" w14:textId="77777777" w:rsidR="00DE0792" w:rsidRPr="00A01C15" w:rsidRDefault="00DE0792" w:rsidP="00A01C15">
      <w:pPr>
        <w:pStyle w:val="ListParagraph"/>
        <w:numPr>
          <w:ilvl w:val="0"/>
          <w:numId w:val="12"/>
        </w:numPr>
        <w:jc w:val="both"/>
        <w:rPr>
          <w:b/>
          <w:iCs/>
        </w:rPr>
      </w:pPr>
      <w:r w:rsidRPr="00A01C15">
        <w:rPr>
          <w:iCs/>
        </w:rPr>
        <w:t>Specialized knowledge of Enterprise Service Bus (ESB) architectures, specifically WSO2, and experience managing large-scale data exchange between heterogeneous government systems.</w:t>
      </w:r>
    </w:p>
    <w:p w14:paraId="1BBBCC78" w14:textId="77777777" w:rsidR="00DE0792" w:rsidRPr="00A01C15" w:rsidRDefault="00DE0792" w:rsidP="00A01C15">
      <w:pPr>
        <w:pStyle w:val="ListParagraph"/>
        <w:numPr>
          <w:ilvl w:val="0"/>
          <w:numId w:val="12"/>
        </w:numPr>
        <w:jc w:val="both"/>
        <w:rPr>
          <w:b/>
          <w:iCs/>
        </w:rPr>
      </w:pPr>
      <w:r w:rsidRPr="00A01C15">
        <w:rPr>
          <w:iCs/>
        </w:rPr>
        <w:t>Experience in defining sizing, networking, and performance requirements for cloud-native or on-premise big data platforms.</w:t>
      </w:r>
    </w:p>
    <w:p w14:paraId="0E9FE646" w14:textId="77777777" w:rsidR="00DE0792" w:rsidRPr="00A01C15" w:rsidRDefault="00DE0792" w:rsidP="00A01C15">
      <w:pPr>
        <w:jc w:val="both"/>
        <w:rPr>
          <w:iCs/>
        </w:rPr>
      </w:pPr>
    </w:p>
    <w:p w14:paraId="2751B444" w14:textId="77777777" w:rsidR="00DE0792" w:rsidRPr="00A01C15" w:rsidRDefault="00DE0792" w:rsidP="00A01C15">
      <w:pPr>
        <w:pStyle w:val="ListParagraph"/>
        <w:ind w:left="360"/>
        <w:jc w:val="both"/>
        <w:rPr>
          <w:iCs/>
        </w:rPr>
      </w:pPr>
      <w:r w:rsidRPr="00A01C15">
        <w:rPr>
          <w:b/>
          <w:bCs/>
          <w:iCs/>
        </w:rPr>
        <w:t>Skills</w:t>
      </w:r>
    </w:p>
    <w:p w14:paraId="047D6E52" w14:textId="77777777" w:rsidR="00DE0792" w:rsidRPr="00A01C15" w:rsidRDefault="00DE0792" w:rsidP="00A01C15">
      <w:pPr>
        <w:pStyle w:val="ListParagraph"/>
        <w:numPr>
          <w:ilvl w:val="0"/>
          <w:numId w:val="13"/>
        </w:numPr>
        <w:jc w:val="both"/>
        <w:rPr>
          <w:iCs/>
        </w:rPr>
      </w:pPr>
      <w:r w:rsidRPr="00A01C15">
        <w:rPr>
          <w:iCs/>
        </w:rPr>
        <w:t>Ability to identify high-latency retrieval patterns and define query performance strategies for complex data layers.</w:t>
      </w:r>
    </w:p>
    <w:p w14:paraId="5AFDFC8E" w14:textId="77777777" w:rsidR="00DE0792" w:rsidRPr="00A01C15" w:rsidRDefault="00DE0792" w:rsidP="00A01C15">
      <w:pPr>
        <w:pStyle w:val="ListParagraph"/>
        <w:numPr>
          <w:ilvl w:val="0"/>
          <w:numId w:val="13"/>
        </w:numPr>
        <w:jc w:val="both"/>
        <w:rPr>
          <w:iCs/>
        </w:rPr>
      </w:pPr>
      <w:r w:rsidRPr="00A01C15">
        <w:rPr>
          <w:iCs/>
        </w:rPr>
        <w:t>Expertise in API-driven interoperability and secure transport protocols for cross-platform data sharing.</w:t>
      </w:r>
    </w:p>
    <w:p w14:paraId="5CCEB956" w14:textId="77777777" w:rsidR="00DE0792" w:rsidRPr="00A01C15" w:rsidRDefault="00DE0792" w:rsidP="00A01C15">
      <w:pPr>
        <w:pStyle w:val="ListParagraph"/>
        <w:numPr>
          <w:ilvl w:val="0"/>
          <w:numId w:val="13"/>
        </w:numPr>
        <w:jc w:val="both"/>
        <w:rPr>
          <w:iCs/>
        </w:rPr>
      </w:pPr>
      <w:r w:rsidRPr="00A01C15">
        <w:rPr>
          <w:iCs/>
        </w:rPr>
        <w:t>Proficiency in designing logical and physical diagrams for data ingestion patterns (batch, streaming, API) and storage layers (Bronze/Silver/Gold).</w:t>
      </w:r>
    </w:p>
    <w:p w14:paraId="01A90BB6" w14:textId="77777777" w:rsidR="00DE0792" w:rsidRPr="00A01C15" w:rsidRDefault="00DE0792" w:rsidP="00A01C15">
      <w:pPr>
        <w:pStyle w:val="ListParagraph"/>
        <w:ind w:left="1080"/>
        <w:jc w:val="both"/>
        <w:rPr>
          <w:iCs/>
        </w:rPr>
      </w:pPr>
    </w:p>
    <w:p w14:paraId="4D32F512" w14:textId="77777777" w:rsidR="00DE0792" w:rsidRPr="00A01C15" w:rsidRDefault="00DE0792" w:rsidP="00A01C15">
      <w:pPr>
        <w:pStyle w:val="ListParagraph"/>
        <w:ind w:left="360"/>
        <w:jc w:val="both"/>
        <w:rPr>
          <w:iCs/>
        </w:rPr>
      </w:pPr>
    </w:p>
    <w:p w14:paraId="36F096F9" w14:textId="77777777" w:rsidR="00DE0792" w:rsidRPr="00A01C15" w:rsidRDefault="00DE0792" w:rsidP="00A01C15">
      <w:pPr>
        <w:pStyle w:val="ListParagraph"/>
        <w:ind w:left="360"/>
        <w:jc w:val="both"/>
        <w:rPr>
          <w:b/>
          <w:iCs/>
        </w:rPr>
      </w:pPr>
      <w:r w:rsidRPr="00A01C15">
        <w:rPr>
          <w:b/>
          <w:iCs/>
        </w:rPr>
        <w:t>4. Legal &amp; Compliance Advisor</w:t>
      </w:r>
    </w:p>
    <w:p w14:paraId="46DC8ED2" w14:textId="77777777" w:rsidR="00DE0792" w:rsidRPr="00A01C15" w:rsidRDefault="00DE0792" w:rsidP="00A01C15">
      <w:pPr>
        <w:jc w:val="both"/>
        <w:rPr>
          <w:b/>
          <w:iCs/>
        </w:rPr>
      </w:pPr>
    </w:p>
    <w:p w14:paraId="165FE941" w14:textId="77777777" w:rsidR="00DE0792" w:rsidRPr="00A01C15" w:rsidRDefault="00DE0792" w:rsidP="00A01C15">
      <w:pPr>
        <w:pStyle w:val="ListParagraph"/>
        <w:ind w:left="360"/>
        <w:jc w:val="both"/>
        <w:rPr>
          <w:b/>
          <w:bCs/>
          <w:iCs/>
        </w:rPr>
      </w:pPr>
      <w:r w:rsidRPr="00A01C15">
        <w:rPr>
          <w:b/>
          <w:bCs/>
          <w:iCs/>
        </w:rPr>
        <w:t>Qualifications</w:t>
      </w:r>
    </w:p>
    <w:p w14:paraId="788429B8" w14:textId="77777777" w:rsidR="00DE0792" w:rsidRPr="00A01C15" w:rsidRDefault="00DE0792" w:rsidP="00A01C15">
      <w:pPr>
        <w:pStyle w:val="ListParagraph"/>
        <w:numPr>
          <w:ilvl w:val="0"/>
          <w:numId w:val="14"/>
        </w:numPr>
        <w:jc w:val="both"/>
        <w:rPr>
          <w:b/>
          <w:iCs/>
        </w:rPr>
      </w:pPr>
      <w:r w:rsidRPr="00A01C15">
        <w:rPr>
          <w:iCs/>
        </w:rPr>
        <w:t>Master’s or Bachelor’s degree in law, privacy/data protection, or a related field.</w:t>
      </w:r>
    </w:p>
    <w:p w14:paraId="01416026" w14:textId="77777777" w:rsidR="00DE0792" w:rsidRPr="00A01C15" w:rsidRDefault="00DE0792" w:rsidP="00A01C15">
      <w:pPr>
        <w:pStyle w:val="ListParagraph"/>
        <w:ind w:left="1080"/>
        <w:jc w:val="both"/>
        <w:rPr>
          <w:b/>
          <w:iCs/>
        </w:rPr>
      </w:pPr>
    </w:p>
    <w:p w14:paraId="44123F49" w14:textId="77777777" w:rsidR="00DE0792" w:rsidRPr="00A01C15" w:rsidRDefault="00DE0792" w:rsidP="00A01C15">
      <w:pPr>
        <w:ind w:firstLine="360"/>
        <w:jc w:val="both"/>
        <w:rPr>
          <w:b/>
          <w:iCs/>
        </w:rPr>
      </w:pPr>
      <w:r w:rsidRPr="00A01C15">
        <w:rPr>
          <w:b/>
          <w:bCs/>
          <w:iCs/>
        </w:rPr>
        <w:t>Experience</w:t>
      </w:r>
    </w:p>
    <w:p w14:paraId="0B12B72E" w14:textId="77777777" w:rsidR="00DE0792" w:rsidRPr="00A01C15" w:rsidRDefault="00DE0792" w:rsidP="00A01C15">
      <w:pPr>
        <w:pStyle w:val="ListParagraph"/>
        <w:numPr>
          <w:ilvl w:val="0"/>
          <w:numId w:val="14"/>
        </w:numPr>
        <w:jc w:val="both"/>
        <w:rPr>
          <w:b/>
          <w:iCs/>
        </w:rPr>
      </w:pPr>
      <w:r w:rsidRPr="00A01C15">
        <w:rPr>
          <w:iCs/>
        </w:rPr>
        <w:t>Minimum of 3 years of experience in data privacy, data protection law, or legal compliance within the technology sector.</w:t>
      </w:r>
    </w:p>
    <w:p w14:paraId="680A0E9D" w14:textId="77777777" w:rsidR="00DE0792" w:rsidRPr="00A01C15" w:rsidRDefault="00DE0792" w:rsidP="00A01C15">
      <w:pPr>
        <w:pStyle w:val="ListParagraph"/>
        <w:numPr>
          <w:ilvl w:val="0"/>
          <w:numId w:val="14"/>
        </w:numPr>
        <w:jc w:val="both"/>
        <w:rPr>
          <w:b/>
          <w:iCs/>
        </w:rPr>
      </w:pPr>
      <w:r w:rsidRPr="00A01C15">
        <w:rPr>
          <w:iCs/>
        </w:rPr>
        <w:t>Regulatory Knowledge: Proven experience navigating Bhutan’s legal landscape, specifically regarding the Information, Communications and Media (ICM) Act and the National Digital Identity (NDI) Act.</w:t>
      </w:r>
    </w:p>
    <w:p w14:paraId="64DF91FF" w14:textId="77777777" w:rsidR="00DE0792" w:rsidRPr="00A01C15" w:rsidRDefault="00DE0792" w:rsidP="00A01C15">
      <w:pPr>
        <w:jc w:val="both"/>
        <w:rPr>
          <w:b/>
          <w:iCs/>
        </w:rPr>
      </w:pPr>
    </w:p>
    <w:p w14:paraId="6FF0D23A" w14:textId="77777777" w:rsidR="00DE0792" w:rsidRPr="00A01C15" w:rsidRDefault="00DE0792" w:rsidP="00A01C15">
      <w:pPr>
        <w:tabs>
          <w:tab w:val="left" w:pos="360"/>
        </w:tabs>
        <w:jc w:val="both"/>
        <w:rPr>
          <w:b/>
          <w:iCs/>
        </w:rPr>
      </w:pPr>
      <w:r w:rsidRPr="00A01C15">
        <w:rPr>
          <w:b/>
          <w:iCs/>
        </w:rPr>
        <w:t xml:space="preserve">      Skills</w:t>
      </w:r>
    </w:p>
    <w:p w14:paraId="04BDFF2C" w14:textId="77777777" w:rsidR="00DE0792" w:rsidRPr="00A01C15" w:rsidRDefault="00DE0792" w:rsidP="00A01C15">
      <w:pPr>
        <w:pStyle w:val="ListParagraph"/>
        <w:numPr>
          <w:ilvl w:val="0"/>
          <w:numId w:val="15"/>
        </w:numPr>
        <w:jc w:val="both"/>
        <w:rPr>
          <w:b/>
          <w:iCs/>
        </w:rPr>
      </w:pPr>
      <w:r w:rsidRPr="00A01C15">
        <w:rPr>
          <w:bCs/>
          <w:iCs/>
        </w:rPr>
        <w:t>Ability to interpret and apply the National Data Governance Framework (NDGF) 2025 and other relevant national regulations to technical system designs.</w:t>
      </w:r>
    </w:p>
    <w:p w14:paraId="07F2F775" w14:textId="77777777" w:rsidR="00DE0792" w:rsidRPr="00A01C15" w:rsidRDefault="00DE0792" w:rsidP="00A01C15">
      <w:pPr>
        <w:pStyle w:val="ListParagraph"/>
        <w:numPr>
          <w:ilvl w:val="0"/>
          <w:numId w:val="15"/>
        </w:numPr>
        <w:jc w:val="both"/>
        <w:rPr>
          <w:b/>
          <w:iCs/>
        </w:rPr>
      </w:pPr>
      <w:r w:rsidRPr="00A01C15">
        <w:rPr>
          <w:bCs/>
          <w:iCs/>
        </w:rPr>
        <w:t>Expertise in providing legal recommendations that inform policy interventions and shape the technical architecture of Digital Public Infrastructure (DPI).</w:t>
      </w:r>
    </w:p>
    <w:p w14:paraId="0F0BE706" w14:textId="77777777" w:rsidR="00DE0792" w:rsidRPr="00A01C15" w:rsidRDefault="00DE0792" w:rsidP="00A01C15">
      <w:pPr>
        <w:pStyle w:val="ListParagraph"/>
        <w:numPr>
          <w:ilvl w:val="0"/>
          <w:numId w:val="15"/>
        </w:numPr>
        <w:jc w:val="both"/>
        <w:rPr>
          <w:b/>
          <w:iCs/>
        </w:rPr>
      </w:pPr>
      <w:r w:rsidRPr="00A01C15">
        <w:rPr>
          <w:bCs/>
          <w:iCs/>
        </w:rPr>
        <w:t>Strong ability to translate complex legal requirements into actionable insights for technical and organizational design teams.</w:t>
      </w:r>
    </w:p>
    <w:p w14:paraId="4DCA2A9A" w14:textId="77777777" w:rsidR="00886493" w:rsidRPr="00A01C15" w:rsidRDefault="00886493" w:rsidP="00A01C15">
      <w:pPr>
        <w:pStyle w:val="ListParagraph"/>
        <w:ind w:left="1080"/>
        <w:jc w:val="both"/>
        <w:rPr>
          <w:b/>
          <w:iCs/>
        </w:rPr>
      </w:pPr>
    </w:p>
    <w:p w14:paraId="56AA8867" w14:textId="77777777" w:rsidR="00DE0792" w:rsidRPr="00A01C15" w:rsidRDefault="00DE0792" w:rsidP="00A01C15">
      <w:pPr>
        <w:pStyle w:val="ListParagraph"/>
        <w:ind w:left="360"/>
        <w:jc w:val="both"/>
        <w:rPr>
          <w:b/>
          <w:iCs/>
        </w:rPr>
      </w:pPr>
      <w:r w:rsidRPr="00A01C15">
        <w:rPr>
          <w:b/>
          <w:iCs/>
        </w:rPr>
        <w:t>Minimum Key Expert Inputs:</w:t>
      </w:r>
    </w:p>
    <w:p w14:paraId="673FAC3C" w14:textId="77777777" w:rsidR="00DE0792" w:rsidRPr="00A01C15" w:rsidRDefault="00DE0792" w:rsidP="00A01C15">
      <w:pPr>
        <w:pStyle w:val="ListParagraph"/>
        <w:ind w:left="360"/>
        <w:jc w:val="both"/>
        <w:rPr>
          <w:bCs/>
          <w:iCs/>
        </w:rPr>
      </w:pPr>
      <w:r w:rsidRPr="00A01C15">
        <w:rPr>
          <w:bCs/>
          <w:iCs/>
        </w:rPr>
        <w:t>Unless otherwise agreed in writing, the following minimum inputs apply:</w:t>
      </w:r>
    </w:p>
    <w:p w14:paraId="10BF6B51" w14:textId="77777777" w:rsidR="00DE0792" w:rsidRPr="00A01C15" w:rsidRDefault="00DE0792" w:rsidP="00A01C15">
      <w:pPr>
        <w:pStyle w:val="ListParagraph"/>
        <w:ind w:left="360"/>
        <w:jc w:val="both"/>
        <w:rPr>
          <w:b/>
          <w:iCs/>
        </w:rPr>
      </w:pPr>
    </w:p>
    <w:tbl>
      <w:tblPr>
        <w:tblW w:w="9090" w:type="dxa"/>
        <w:tblInd w:w="350" w:type="dxa"/>
        <w:tblLook w:val="04A0" w:firstRow="1" w:lastRow="0" w:firstColumn="1" w:lastColumn="0" w:noHBand="0" w:noVBand="1"/>
      </w:tblPr>
      <w:tblGrid>
        <w:gridCol w:w="2430"/>
        <w:gridCol w:w="1968"/>
        <w:gridCol w:w="4692"/>
      </w:tblGrid>
      <w:tr w:rsidR="00DE0792" w:rsidRPr="00A01C15" w14:paraId="03980461" w14:textId="77777777" w:rsidTr="002B630B">
        <w:trPr>
          <w:trHeight w:val="283"/>
        </w:trPr>
        <w:tc>
          <w:tcPr>
            <w:tcW w:w="2430" w:type="dxa"/>
            <w:tcBorders>
              <w:top w:val="single" w:sz="8" w:space="0" w:color="000000"/>
              <w:left w:val="single" w:sz="8" w:space="0" w:color="000000"/>
              <w:bottom w:val="single" w:sz="8" w:space="0" w:color="000000"/>
              <w:right w:val="single" w:sz="8" w:space="0" w:color="000000"/>
            </w:tcBorders>
            <w:vAlign w:val="center"/>
            <w:hideMark/>
          </w:tcPr>
          <w:p w14:paraId="1A84BD06" w14:textId="77777777" w:rsidR="00DE0792" w:rsidRPr="00A01C15" w:rsidRDefault="00DE0792" w:rsidP="00A01C15">
            <w:pPr>
              <w:ind w:firstLineChars="100" w:firstLine="241"/>
              <w:jc w:val="both"/>
              <w:rPr>
                <w:b/>
                <w:bCs/>
                <w:color w:val="1F1F1F"/>
              </w:rPr>
            </w:pPr>
            <w:r w:rsidRPr="00A01C15">
              <w:rPr>
                <w:b/>
                <w:bCs/>
                <w:color w:val="1F1F1F"/>
              </w:rPr>
              <w:t>Expert Role</w:t>
            </w:r>
          </w:p>
        </w:tc>
        <w:tc>
          <w:tcPr>
            <w:tcW w:w="1968" w:type="dxa"/>
            <w:tcBorders>
              <w:top w:val="single" w:sz="8" w:space="0" w:color="000000"/>
              <w:left w:val="nil"/>
              <w:bottom w:val="single" w:sz="8" w:space="0" w:color="000000"/>
              <w:right w:val="single" w:sz="8" w:space="0" w:color="000000"/>
            </w:tcBorders>
            <w:vAlign w:val="center"/>
            <w:hideMark/>
          </w:tcPr>
          <w:p w14:paraId="7154444D" w14:textId="77777777" w:rsidR="00DE0792" w:rsidRPr="00A01C15" w:rsidRDefault="00DE0792" w:rsidP="00A01C15">
            <w:pPr>
              <w:ind w:firstLineChars="100" w:firstLine="241"/>
              <w:jc w:val="both"/>
              <w:rPr>
                <w:b/>
                <w:bCs/>
                <w:color w:val="1F1F1F"/>
              </w:rPr>
            </w:pPr>
            <w:r w:rsidRPr="00A01C15">
              <w:rPr>
                <w:b/>
                <w:bCs/>
                <w:color w:val="1F1F1F"/>
              </w:rPr>
              <w:t>Person-Days</w:t>
            </w:r>
          </w:p>
        </w:tc>
        <w:tc>
          <w:tcPr>
            <w:tcW w:w="4692" w:type="dxa"/>
            <w:tcBorders>
              <w:top w:val="single" w:sz="8" w:space="0" w:color="000000"/>
              <w:left w:val="nil"/>
              <w:bottom w:val="single" w:sz="8" w:space="0" w:color="000000"/>
              <w:right w:val="single" w:sz="8" w:space="0" w:color="000000"/>
            </w:tcBorders>
            <w:vAlign w:val="center"/>
            <w:hideMark/>
          </w:tcPr>
          <w:p w14:paraId="48CD35DC" w14:textId="77777777" w:rsidR="00DE0792" w:rsidRPr="00A01C15" w:rsidRDefault="00DE0792" w:rsidP="00A01C15">
            <w:pPr>
              <w:ind w:firstLineChars="100" w:firstLine="241"/>
              <w:jc w:val="both"/>
              <w:rPr>
                <w:b/>
                <w:bCs/>
                <w:color w:val="1F1F1F"/>
              </w:rPr>
            </w:pPr>
            <w:r w:rsidRPr="00A01C15">
              <w:rPr>
                <w:b/>
                <w:bCs/>
                <w:color w:val="1F1F1F"/>
              </w:rPr>
              <w:t>Justification &amp; Focus Area</w:t>
            </w:r>
          </w:p>
        </w:tc>
      </w:tr>
      <w:tr w:rsidR="00DE0792" w:rsidRPr="00A01C15" w14:paraId="48496DEC" w14:textId="77777777" w:rsidTr="002B630B">
        <w:trPr>
          <w:trHeight w:val="532"/>
        </w:trPr>
        <w:tc>
          <w:tcPr>
            <w:tcW w:w="2430" w:type="dxa"/>
            <w:tcBorders>
              <w:top w:val="nil"/>
              <w:left w:val="single" w:sz="8" w:space="0" w:color="000000"/>
              <w:bottom w:val="single" w:sz="8" w:space="0" w:color="000000"/>
              <w:right w:val="single" w:sz="8" w:space="0" w:color="000000"/>
            </w:tcBorders>
            <w:vAlign w:val="center"/>
            <w:hideMark/>
          </w:tcPr>
          <w:p w14:paraId="79ECAD57" w14:textId="77777777" w:rsidR="00DE0792" w:rsidRPr="00A01C15" w:rsidRDefault="00DE0792" w:rsidP="00A01C15">
            <w:pPr>
              <w:jc w:val="both"/>
              <w:rPr>
                <w:color w:val="1F1F1F"/>
              </w:rPr>
            </w:pPr>
            <w:r w:rsidRPr="00A01C15">
              <w:rPr>
                <w:color w:val="1F1F1F"/>
              </w:rPr>
              <w:t>Data Architect / Team Leader</w:t>
            </w:r>
          </w:p>
        </w:tc>
        <w:tc>
          <w:tcPr>
            <w:tcW w:w="1968" w:type="dxa"/>
            <w:tcBorders>
              <w:top w:val="nil"/>
              <w:left w:val="nil"/>
              <w:bottom w:val="single" w:sz="8" w:space="0" w:color="000000"/>
              <w:right w:val="single" w:sz="8" w:space="0" w:color="000000"/>
            </w:tcBorders>
            <w:vAlign w:val="center"/>
            <w:hideMark/>
          </w:tcPr>
          <w:p w14:paraId="07C2D3FA" w14:textId="77777777" w:rsidR="00DE0792" w:rsidRPr="00A01C15" w:rsidRDefault="00DE0792" w:rsidP="00A01C15">
            <w:pPr>
              <w:ind w:firstLineChars="100" w:firstLine="240"/>
              <w:jc w:val="both"/>
              <w:rPr>
                <w:color w:val="1F1F1F"/>
              </w:rPr>
            </w:pPr>
            <w:r w:rsidRPr="00A01C15">
              <w:rPr>
                <w:color w:val="1F1F1F"/>
              </w:rPr>
              <w:t>45 Days</w:t>
            </w:r>
          </w:p>
        </w:tc>
        <w:tc>
          <w:tcPr>
            <w:tcW w:w="4692" w:type="dxa"/>
            <w:tcBorders>
              <w:top w:val="nil"/>
              <w:left w:val="nil"/>
              <w:bottom w:val="single" w:sz="8" w:space="0" w:color="000000"/>
              <w:right w:val="single" w:sz="8" w:space="0" w:color="000000"/>
            </w:tcBorders>
            <w:vAlign w:val="center"/>
            <w:hideMark/>
          </w:tcPr>
          <w:p w14:paraId="584ACA8D" w14:textId="77777777" w:rsidR="00DE0792" w:rsidRPr="00A01C15" w:rsidRDefault="00DE0792" w:rsidP="00A01C15">
            <w:pPr>
              <w:jc w:val="both"/>
              <w:rPr>
                <w:color w:val="1F1F1F"/>
              </w:rPr>
            </w:pPr>
            <w:r w:rsidRPr="00A01C15">
              <w:rPr>
                <w:color w:val="1F1F1F"/>
              </w:rPr>
              <w:t xml:space="preserve">Core oversight. Focuses on the "Blueprints" and the final "Implementation </w:t>
            </w:r>
            <w:proofErr w:type="spellStart"/>
            <w:r w:rsidRPr="00A01C15">
              <w:rPr>
                <w:color w:val="1F1F1F"/>
              </w:rPr>
              <w:t>ToR</w:t>
            </w:r>
            <w:proofErr w:type="spellEnd"/>
            <w:r w:rsidRPr="00A01C15">
              <w:rPr>
                <w:color w:val="1F1F1F"/>
              </w:rPr>
              <w:t>".</w:t>
            </w:r>
          </w:p>
        </w:tc>
      </w:tr>
      <w:tr w:rsidR="00DE0792" w:rsidRPr="00A01C15" w14:paraId="260802DC" w14:textId="77777777" w:rsidTr="002B630B">
        <w:trPr>
          <w:trHeight w:val="793"/>
        </w:trPr>
        <w:tc>
          <w:tcPr>
            <w:tcW w:w="2430" w:type="dxa"/>
            <w:tcBorders>
              <w:top w:val="nil"/>
              <w:left w:val="single" w:sz="8" w:space="0" w:color="000000"/>
              <w:bottom w:val="single" w:sz="8" w:space="0" w:color="000000"/>
              <w:right w:val="single" w:sz="8" w:space="0" w:color="000000"/>
            </w:tcBorders>
            <w:vAlign w:val="center"/>
            <w:hideMark/>
          </w:tcPr>
          <w:p w14:paraId="440AC363" w14:textId="77777777" w:rsidR="00DE0792" w:rsidRPr="00A01C15" w:rsidRDefault="00DE0792" w:rsidP="00A01C15">
            <w:pPr>
              <w:jc w:val="both"/>
              <w:rPr>
                <w:color w:val="1F1F1F"/>
              </w:rPr>
            </w:pPr>
            <w:r w:rsidRPr="00A01C15">
              <w:rPr>
                <w:color w:val="1F1F1F"/>
              </w:rPr>
              <w:t>Data Integration &amp; Infra Expert</w:t>
            </w:r>
          </w:p>
        </w:tc>
        <w:tc>
          <w:tcPr>
            <w:tcW w:w="1968" w:type="dxa"/>
            <w:tcBorders>
              <w:top w:val="nil"/>
              <w:left w:val="nil"/>
              <w:bottom w:val="single" w:sz="8" w:space="0" w:color="000000"/>
              <w:right w:val="single" w:sz="8" w:space="0" w:color="000000"/>
            </w:tcBorders>
            <w:vAlign w:val="center"/>
            <w:hideMark/>
          </w:tcPr>
          <w:p w14:paraId="6BF67FD5" w14:textId="77777777" w:rsidR="00DE0792" w:rsidRPr="00A01C15" w:rsidRDefault="00DE0792" w:rsidP="00A01C15">
            <w:pPr>
              <w:ind w:firstLineChars="100" w:firstLine="240"/>
              <w:jc w:val="both"/>
              <w:rPr>
                <w:color w:val="1F1F1F"/>
              </w:rPr>
            </w:pPr>
            <w:r w:rsidRPr="00A01C15">
              <w:rPr>
                <w:color w:val="1F1F1F"/>
              </w:rPr>
              <w:t>35 Days</w:t>
            </w:r>
          </w:p>
        </w:tc>
        <w:tc>
          <w:tcPr>
            <w:tcW w:w="4692" w:type="dxa"/>
            <w:tcBorders>
              <w:top w:val="nil"/>
              <w:left w:val="nil"/>
              <w:bottom w:val="single" w:sz="8" w:space="0" w:color="000000"/>
              <w:right w:val="single" w:sz="8" w:space="0" w:color="000000"/>
            </w:tcBorders>
            <w:vAlign w:val="center"/>
            <w:hideMark/>
          </w:tcPr>
          <w:p w14:paraId="6A930A88" w14:textId="77777777" w:rsidR="00DE0792" w:rsidRPr="00A01C15" w:rsidRDefault="00DE0792" w:rsidP="00A01C15">
            <w:pPr>
              <w:jc w:val="both"/>
              <w:rPr>
                <w:color w:val="1F1F1F"/>
              </w:rPr>
            </w:pPr>
            <w:r w:rsidRPr="00A01C15">
              <w:rPr>
                <w:color w:val="1F1F1F"/>
              </w:rPr>
              <w:t>Concentrated on Phase 1 &amp; 2. Defines the ingestion patterns for the 20-25 sources.</w:t>
            </w:r>
          </w:p>
        </w:tc>
      </w:tr>
      <w:tr w:rsidR="00DE0792" w:rsidRPr="00A01C15" w14:paraId="058A9B5F" w14:textId="77777777" w:rsidTr="002B630B">
        <w:trPr>
          <w:trHeight w:val="793"/>
        </w:trPr>
        <w:tc>
          <w:tcPr>
            <w:tcW w:w="2430" w:type="dxa"/>
            <w:tcBorders>
              <w:top w:val="nil"/>
              <w:left w:val="single" w:sz="8" w:space="0" w:color="000000"/>
              <w:bottom w:val="single" w:sz="8" w:space="0" w:color="000000"/>
              <w:right w:val="single" w:sz="8" w:space="0" w:color="000000"/>
            </w:tcBorders>
            <w:vAlign w:val="center"/>
            <w:hideMark/>
          </w:tcPr>
          <w:p w14:paraId="1C628AA4" w14:textId="77777777" w:rsidR="00DE0792" w:rsidRPr="00A01C15" w:rsidRDefault="00DE0792" w:rsidP="00A01C15">
            <w:pPr>
              <w:jc w:val="both"/>
              <w:rPr>
                <w:color w:val="1F1F1F"/>
              </w:rPr>
            </w:pPr>
            <w:r w:rsidRPr="00A01C15">
              <w:rPr>
                <w:color w:val="1F1F1F"/>
              </w:rPr>
              <w:t>Data Security &amp; Governance</w:t>
            </w:r>
          </w:p>
        </w:tc>
        <w:tc>
          <w:tcPr>
            <w:tcW w:w="1968" w:type="dxa"/>
            <w:tcBorders>
              <w:top w:val="nil"/>
              <w:left w:val="nil"/>
              <w:bottom w:val="single" w:sz="8" w:space="0" w:color="000000"/>
              <w:right w:val="single" w:sz="8" w:space="0" w:color="000000"/>
            </w:tcBorders>
            <w:vAlign w:val="center"/>
            <w:hideMark/>
          </w:tcPr>
          <w:p w14:paraId="0B6D6B75" w14:textId="77777777" w:rsidR="00DE0792" w:rsidRPr="00A01C15" w:rsidRDefault="00DE0792" w:rsidP="00A01C15">
            <w:pPr>
              <w:ind w:firstLineChars="100" w:firstLine="240"/>
              <w:jc w:val="both"/>
              <w:rPr>
                <w:color w:val="1F1F1F"/>
              </w:rPr>
            </w:pPr>
            <w:r w:rsidRPr="00A01C15">
              <w:rPr>
                <w:color w:val="1F1F1F"/>
              </w:rPr>
              <w:t>25 Days</w:t>
            </w:r>
          </w:p>
        </w:tc>
        <w:tc>
          <w:tcPr>
            <w:tcW w:w="4692" w:type="dxa"/>
            <w:tcBorders>
              <w:top w:val="nil"/>
              <w:left w:val="nil"/>
              <w:bottom w:val="single" w:sz="8" w:space="0" w:color="000000"/>
              <w:right w:val="single" w:sz="8" w:space="0" w:color="000000"/>
            </w:tcBorders>
            <w:vAlign w:val="center"/>
            <w:hideMark/>
          </w:tcPr>
          <w:p w14:paraId="7FC00B9E" w14:textId="77777777" w:rsidR="00DE0792" w:rsidRPr="00A01C15" w:rsidRDefault="00DE0792" w:rsidP="00A01C15">
            <w:pPr>
              <w:jc w:val="both"/>
              <w:rPr>
                <w:color w:val="1F1F1F"/>
              </w:rPr>
            </w:pPr>
            <w:r w:rsidRPr="00A01C15">
              <w:rPr>
                <w:color w:val="1F1F1F"/>
              </w:rPr>
              <w:t>Focused on the Access Control Matrix and Data Classification Scheme.</w:t>
            </w:r>
          </w:p>
        </w:tc>
      </w:tr>
      <w:tr w:rsidR="00DE0792" w:rsidRPr="00A01C15" w14:paraId="5107FFC2" w14:textId="77777777" w:rsidTr="002B630B">
        <w:trPr>
          <w:trHeight w:val="793"/>
        </w:trPr>
        <w:tc>
          <w:tcPr>
            <w:tcW w:w="2430" w:type="dxa"/>
            <w:tcBorders>
              <w:top w:val="nil"/>
              <w:left w:val="single" w:sz="8" w:space="0" w:color="000000"/>
              <w:bottom w:val="single" w:sz="8" w:space="0" w:color="000000"/>
              <w:right w:val="single" w:sz="8" w:space="0" w:color="000000"/>
            </w:tcBorders>
            <w:vAlign w:val="center"/>
            <w:hideMark/>
          </w:tcPr>
          <w:p w14:paraId="31773F70" w14:textId="77777777" w:rsidR="00DE0792" w:rsidRPr="00A01C15" w:rsidRDefault="00DE0792" w:rsidP="00A01C15">
            <w:pPr>
              <w:jc w:val="both"/>
              <w:rPr>
                <w:color w:val="1F1F1F"/>
              </w:rPr>
            </w:pPr>
            <w:r w:rsidRPr="00A01C15">
              <w:rPr>
                <w:color w:val="1F1F1F"/>
              </w:rPr>
              <w:t>Legal &amp; Compliance Advisor</w:t>
            </w:r>
          </w:p>
        </w:tc>
        <w:tc>
          <w:tcPr>
            <w:tcW w:w="1968" w:type="dxa"/>
            <w:tcBorders>
              <w:top w:val="nil"/>
              <w:left w:val="nil"/>
              <w:bottom w:val="single" w:sz="8" w:space="0" w:color="000000"/>
              <w:right w:val="single" w:sz="8" w:space="0" w:color="000000"/>
            </w:tcBorders>
            <w:vAlign w:val="center"/>
            <w:hideMark/>
          </w:tcPr>
          <w:p w14:paraId="46C980CE" w14:textId="77777777" w:rsidR="00DE0792" w:rsidRPr="00A01C15" w:rsidRDefault="00DE0792" w:rsidP="00A01C15">
            <w:pPr>
              <w:ind w:firstLineChars="100" w:firstLine="240"/>
              <w:jc w:val="both"/>
              <w:rPr>
                <w:color w:val="1F1F1F"/>
              </w:rPr>
            </w:pPr>
            <w:r w:rsidRPr="00A01C15">
              <w:rPr>
                <w:color w:val="1F1F1F"/>
              </w:rPr>
              <w:t>15 Days</w:t>
            </w:r>
          </w:p>
        </w:tc>
        <w:tc>
          <w:tcPr>
            <w:tcW w:w="4692" w:type="dxa"/>
            <w:tcBorders>
              <w:top w:val="nil"/>
              <w:left w:val="nil"/>
              <w:bottom w:val="single" w:sz="8" w:space="0" w:color="000000"/>
              <w:right w:val="single" w:sz="8" w:space="0" w:color="000000"/>
            </w:tcBorders>
            <w:vAlign w:val="center"/>
            <w:hideMark/>
          </w:tcPr>
          <w:p w14:paraId="3B5F45DD" w14:textId="77777777" w:rsidR="00DE0792" w:rsidRPr="00A01C15" w:rsidRDefault="00DE0792" w:rsidP="00A01C15">
            <w:pPr>
              <w:jc w:val="both"/>
              <w:rPr>
                <w:color w:val="1F1F1F"/>
              </w:rPr>
            </w:pPr>
            <w:r w:rsidRPr="00A01C15">
              <w:rPr>
                <w:color w:val="1F1F1F"/>
              </w:rPr>
              <w:t>Targeted legal review of ICM/NDI Acts against the proposed architecture.</w:t>
            </w:r>
          </w:p>
        </w:tc>
      </w:tr>
    </w:tbl>
    <w:p w14:paraId="3AEB9277" w14:textId="77777777" w:rsidR="00DE0792" w:rsidRPr="00A01C15" w:rsidRDefault="00DE0792" w:rsidP="00A01C15">
      <w:pPr>
        <w:pStyle w:val="ListParagraph"/>
        <w:ind w:left="360"/>
        <w:jc w:val="both"/>
        <w:rPr>
          <w:b/>
          <w:iCs/>
        </w:rPr>
      </w:pPr>
    </w:p>
    <w:p w14:paraId="1A4542C3" w14:textId="77777777" w:rsidR="00886493" w:rsidRPr="00A01C15" w:rsidRDefault="00886493" w:rsidP="00A01C15">
      <w:pPr>
        <w:jc w:val="both"/>
        <w:rPr>
          <w:bCs/>
          <w:iCs/>
        </w:rPr>
      </w:pPr>
      <w:r w:rsidRPr="00A01C15">
        <w:rPr>
          <w:bCs/>
          <w:iCs/>
        </w:rPr>
        <w:t xml:space="preserve">The Firm shall propose a staffing plan that demonstrates adequate, continuous, and proportionate expert input across all phases and deliverables of the assignment. The staffing plan shall allocate person-days by role, by phase, and by deliverable. It shall explain the basis for the proposed level of effort in relation to the scope, sequencing, stakeholder engagement requirements, review cycles, and expected outputs set out in this </w:t>
      </w:r>
      <w:proofErr w:type="spellStart"/>
      <w:r w:rsidRPr="00A01C15">
        <w:rPr>
          <w:bCs/>
          <w:iCs/>
        </w:rPr>
        <w:t>ToR</w:t>
      </w:r>
      <w:proofErr w:type="spellEnd"/>
      <w:r w:rsidRPr="00A01C15">
        <w:rPr>
          <w:bCs/>
          <w:iCs/>
        </w:rPr>
        <w:t>.</w:t>
      </w:r>
    </w:p>
    <w:p w14:paraId="3466B2FB" w14:textId="77777777" w:rsidR="00886493" w:rsidRPr="00A01C15" w:rsidRDefault="00886493" w:rsidP="00A01C15">
      <w:pPr>
        <w:jc w:val="both"/>
        <w:rPr>
          <w:bCs/>
          <w:iCs/>
        </w:rPr>
      </w:pPr>
    </w:p>
    <w:p w14:paraId="7A5EA2AA" w14:textId="6E1EF885" w:rsidR="00DE0792" w:rsidRPr="00A01C15" w:rsidRDefault="00886493" w:rsidP="00A01C15">
      <w:pPr>
        <w:jc w:val="both"/>
        <w:rPr>
          <w:bCs/>
          <w:iCs/>
        </w:rPr>
      </w:pPr>
      <w:r w:rsidRPr="00A01C15">
        <w:rPr>
          <w:bCs/>
          <w:iCs/>
        </w:rPr>
        <w:t>Where minimum person-day inputs are stated for key experts, such minima shall not be interpreted as creating a presumption that such inputs are sufficient in all cases, nor shall they relieve the Firm of responsibility for proposing and providing the level of effort reasonably required to complete the Services to the required standard.</w:t>
      </w:r>
    </w:p>
    <w:p w14:paraId="1B933FE2" w14:textId="77777777" w:rsidR="00DE0792" w:rsidRPr="00A01C15" w:rsidRDefault="00DE0792" w:rsidP="00A01C15">
      <w:pPr>
        <w:jc w:val="both"/>
        <w:rPr>
          <w:b/>
          <w:i/>
        </w:rPr>
      </w:pPr>
    </w:p>
    <w:p w14:paraId="22D06B3C" w14:textId="77777777" w:rsidR="00886493" w:rsidRPr="00A01C15" w:rsidRDefault="00886493" w:rsidP="00A01C15">
      <w:pPr>
        <w:jc w:val="both"/>
        <w:rPr>
          <w:b/>
          <w:i/>
        </w:rPr>
      </w:pPr>
    </w:p>
    <w:p w14:paraId="7B0678C5" w14:textId="77777777" w:rsidR="00DE0792" w:rsidRPr="00A01C15" w:rsidRDefault="00DE0792" w:rsidP="00A01C15">
      <w:pPr>
        <w:pStyle w:val="ListParagraph"/>
        <w:numPr>
          <w:ilvl w:val="0"/>
          <w:numId w:val="1"/>
        </w:numPr>
        <w:ind w:left="360"/>
        <w:jc w:val="both"/>
        <w:rPr>
          <w:b/>
          <w:i/>
        </w:rPr>
      </w:pPr>
      <w:r w:rsidRPr="00A01C15">
        <w:rPr>
          <w:b/>
          <w:i/>
        </w:rPr>
        <w:t>Reporting Requirements, Verification Methods, and Time Schedule for Deliverables</w:t>
      </w:r>
    </w:p>
    <w:p w14:paraId="42541C32" w14:textId="77777777" w:rsidR="00DE0792" w:rsidRPr="00A01C15" w:rsidRDefault="00DE0792" w:rsidP="00A01C15">
      <w:pPr>
        <w:pStyle w:val="ListParagraph"/>
        <w:ind w:left="360"/>
        <w:jc w:val="both"/>
        <w:rPr>
          <w:b/>
          <w:i/>
          <w:highlight w:val="yellow"/>
        </w:rPr>
      </w:pPr>
    </w:p>
    <w:p w14:paraId="2FCA831B" w14:textId="77777777" w:rsidR="00DE0792" w:rsidRPr="00A01C15" w:rsidRDefault="00DE0792" w:rsidP="00A01C15">
      <w:pPr>
        <w:jc w:val="both"/>
        <w:rPr>
          <w:bCs/>
          <w:iCs/>
        </w:rPr>
      </w:pPr>
      <w:r w:rsidRPr="00A01C15">
        <w:rPr>
          <w:bCs/>
          <w:iCs/>
        </w:rPr>
        <w:t xml:space="preserve">The consultancy shall provide the following deliverables outlined in the table below. </w:t>
      </w:r>
      <w:r w:rsidRPr="00A01C15">
        <w:t>Each milestone payment shall be payable only upon the Client’s written acceptance of the relevant deliverable(s). A deliverable shall be considered accepted only when: (</w:t>
      </w:r>
      <w:proofErr w:type="spellStart"/>
      <w:r w:rsidRPr="00A01C15">
        <w:t>i</w:t>
      </w:r>
      <w:proofErr w:type="spellEnd"/>
      <w:r w:rsidRPr="00A01C15">
        <w:t xml:space="preserve">) it meets the minimum content requirements stated in this </w:t>
      </w:r>
      <w:proofErr w:type="spellStart"/>
      <w:r w:rsidRPr="00A01C15">
        <w:t>ToR</w:t>
      </w:r>
      <w:proofErr w:type="spellEnd"/>
      <w:r w:rsidRPr="00A01C15">
        <w:t xml:space="preserve"> and is internally consistent across sections and annexes; (ii) it has been presented to the Client; (iii) all material Client comments have been addressed and closed in a Deliverable Comment Log submitted with the resubmission; and (iv) the Client’s Authorized Representative has approved it in writing (email acceptable). If a deliverable is returned for revision, the Firm shall resubmit within 7 working days unless otherwise agreed in writing.</w:t>
      </w:r>
    </w:p>
    <w:p w14:paraId="07146D97" w14:textId="77777777" w:rsidR="00DE0792" w:rsidRPr="00A01C15" w:rsidRDefault="00DE0792" w:rsidP="00A01C15">
      <w:pPr>
        <w:jc w:val="both"/>
        <w:rPr>
          <w:bCs/>
          <w:iCs/>
        </w:rPr>
      </w:pPr>
    </w:p>
    <w:tbl>
      <w:tblPr>
        <w:tblW w:w="8002" w:type="dxa"/>
        <w:tblLayout w:type="fixed"/>
        <w:tblLook w:val="0400" w:firstRow="0" w:lastRow="0" w:firstColumn="0" w:lastColumn="0" w:noHBand="0" w:noVBand="1"/>
      </w:tblPr>
      <w:tblGrid>
        <w:gridCol w:w="1162"/>
        <w:gridCol w:w="4950"/>
        <w:gridCol w:w="1890"/>
      </w:tblGrid>
      <w:tr w:rsidR="00A01C15" w:rsidRPr="00A01C15" w14:paraId="7D66BA7C" w14:textId="77777777" w:rsidTr="00A01C15">
        <w:trPr>
          <w:tblHeader/>
        </w:trPr>
        <w:tc>
          <w:tcPr>
            <w:tcW w:w="116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35BCF7F9" w14:textId="77777777" w:rsidR="00A01C15" w:rsidRPr="00A01C15" w:rsidRDefault="00A01C15" w:rsidP="00A01C15">
            <w:pPr>
              <w:jc w:val="both"/>
              <w:rPr>
                <w:bCs/>
                <w:iCs/>
              </w:rPr>
            </w:pPr>
            <w:r w:rsidRPr="00A01C15">
              <w:rPr>
                <w:bCs/>
                <w:iCs/>
              </w:rPr>
              <w:t>Phase</w:t>
            </w:r>
          </w:p>
        </w:tc>
        <w:tc>
          <w:tcPr>
            <w:tcW w:w="495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2D81D530" w14:textId="0B24B593" w:rsidR="00A01C15" w:rsidRPr="00A01C15" w:rsidRDefault="00A01C15" w:rsidP="00A01C15">
            <w:pPr>
              <w:jc w:val="both"/>
              <w:rPr>
                <w:bCs/>
                <w:iCs/>
              </w:rPr>
            </w:pPr>
            <w:r w:rsidRPr="00A01C15">
              <w:rPr>
                <w:bCs/>
                <w:iCs/>
              </w:rPr>
              <w:t>Deliverables</w:t>
            </w:r>
          </w:p>
        </w:tc>
        <w:tc>
          <w:tcPr>
            <w:tcW w:w="1890" w:type="dxa"/>
            <w:tcBorders>
              <w:top w:val="single" w:sz="6" w:space="0" w:color="000000"/>
              <w:left w:val="single" w:sz="6" w:space="0" w:color="000000"/>
              <w:bottom w:val="single" w:sz="6" w:space="0" w:color="000000"/>
              <w:right w:val="single" w:sz="6" w:space="0" w:color="000000"/>
            </w:tcBorders>
            <w:hideMark/>
          </w:tcPr>
          <w:p w14:paraId="68DC6216" w14:textId="7DCD9736" w:rsidR="00A01C15" w:rsidRPr="00A01C15" w:rsidRDefault="00A01C15" w:rsidP="00A01C15">
            <w:pPr>
              <w:jc w:val="both"/>
              <w:rPr>
                <w:bCs/>
                <w:iCs/>
              </w:rPr>
            </w:pPr>
            <w:r w:rsidRPr="00A01C15">
              <w:rPr>
                <w:bCs/>
                <w:iCs/>
              </w:rPr>
              <w:t>Timeline</w:t>
            </w:r>
          </w:p>
        </w:tc>
      </w:tr>
      <w:tr w:rsidR="00A01C15" w:rsidRPr="00A01C15" w14:paraId="31ADDD4F" w14:textId="77777777" w:rsidTr="00A01C15">
        <w:tc>
          <w:tcPr>
            <w:tcW w:w="116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690D3569" w14:textId="77777777" w:rsidR="00A01C15" w:rsidRPr="00A01C15" w:rsidRDefault="00A01C15" w:rsidP="00A01C15">
            <w:pPr>
              <w:jc w:val="both"/>
              <w:rPr>
                <w:bCs/>
                <w:iCs/>
              </w:rPr>
            </w:pPr>
            <w:r w:rsidRPr="00A01C15">
              <w:rPr>
                <w:bCs/>
                <w:iCs/>
              </w:rPr>
              <w:t>1</w:t>
            </w:r>
          </w:p>
        </w:tc>
        <w:tc>
          <w:tcPr>
            <w:tcW w:w="495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3AC6DB7B" w14:textId="77777777" w:rsidR="00A01C15" w:rsidRPr="00A01C15" w:rsidRDefault="00A01C15" w:rsidP="00A01C15">
            <w:pPr>
              <w:jc w:val="both"/>
              <w:rPr>
                <w:bCs/>
                <w:iCs/>
              </w:rPr>
            </w:pPr>
            <w:r w:rsidRPr="00A01C15">
              <w:rPr>
                <w:bCs/>
                <w:iCs/>
              </w:rPr>
              <w:t>Inception, Assessment &amp; Planning</w:t>
            </w:r>
          </w:p>
          <w:p w14:paraId="79DECB75" w14:textId="77777777" w:rsidR="00A01C15" w:rsidRPr="00A01C15" w:rsidRDefault="00A01C15" w:rsidP="00A01C15">
            <w:pPr>
              <w:numPr>
                <w:ilvl w:val="0"/>
                <w:numId w:val="16"/>
              </w:numPr>
              <w:jc w:val="both"/>
              <w:rPr>
                <w:bCs/>
                <w:iCs/>
              </w:rPr>
            </w:pPr>
            <w:r w:rsidRPr="00A01C15">
              <w:rPr>
                <w:bCs/>
                <w:iCs/>
              </w:rPr>
              <w:t xml:space="preserve">Inception &amp; Gap Analysis: Conduct stakeholder workshops; review all available documentation and technical assets; assess on-premise </w:t>
            </w:r>
            <w:r w:rsidRPr="00A01C15">
              <w:rPr>
                <w:bCs/>
                <w:iCs/>
              </w:rPr>
              <w:lastRenderedPageBreak/>
              <w:t>infrastructure adequacy against modern data platform demands, identifying bottlenecks.</w:t>
            </w:r>
          </w:p>
          <w:p w14:paraId="7330362C" w14:textId="77777777" w:rsidR="00A01C15" w:rsidRPr="00A01C15" w:rsidRDefault="00A01C15" w:rsidP="00A01C15">
            <w:pPr>
              <w:numPr>
                <w:ilvl w:val="0"/>
                <w:numId w:val="16"/>
              </w:numPr>
              <w:jc w:val="both"/>
              <w:rPr>
                <w:bCs/>
                <w:iCs/>
              </w:rPr>
            </w:pPr>
            <w:r w:rsidRPr="00A01C15">
              <w:rPr>
                <w:bCs/>
                <w:iCs/>
              </w:rPr>
              <w:t xml:space="preserve">Data Source Assessment: </w:t>
            </w:r>
            <w:proofErr w:type="spellStart"/>
            <w:r w:rsidRPr="00A01C15">
              <w:rPr>
                <w:bCs/>
                <w:iCs/>
              </w:rPr>
              <w:t>Analyse</w:t>
            </w:r>
            <w:proofErr w:type="spellEnd"/>
            <w:r w:rsidRPr="00A01C15">
              <w:rPr>
                <w:bCs/>
                <w:iCs/>
              </w:rPr>
              <w:t xml:space="preserve"> and profile all relevant (approximately 20-25) NSW data sources (Customs, trade licensing, finance); document types, volumes, velocity, quality.</w:t>
            </w:r>
          </w:p>
          <w:p w14:paraId="1B9B1AC4" w14:textId="77777777" w:rsidR="00A01C15" w:rsidRPr="00A01C15" w:rsidRDefault="00A01C15" w:rsidP="00A01C15">
            <w:pPr>
              <w:numPr>
                <w:ilvl w:val="0"/>
                <w:numId w:val="16"/>
              </w:numPr>
              <w:jc w:val="both"/>
              <w:rPr>
                <w:bCs/>
                <w:iCs/>
              </w:rPr>
            </w:pPr>
            <w:r w:rsidRPr="00A01C15">
              <w:rPr>
                <w:bCs/>
                <w:iCs/>
              </w:rPr>
              <w:t>Legal &amp; Compliance Review: Ensure designs comply with National Data Governance Framework, Information Communication and Media (ICM) Act, National Digital Identity (NDI) Act, and other relevant regulations. Legal and regulatory review must be translated into concrete technical design choices (e.g., how the ICM Act and NDI Act affect storage, access layers, and encryption).</w:t>
            </w:r>
          </w:p>
          <w:p w14:paraId="285E9085" w14:textId="77777777" w:rsidR="00A01C15" w:rsidRPr="00A01C15" w:rsidRDefault="00A01C15" w:rsidP="00A01C15">
            <w:pPr>
              <w:numPr>
                <w:ilvl w:val="0"/>
                <w:numId w:val="16"/>
              </w:numPr>
              <w:jc w:val="both"/>
              <w:rPr>
                <w:bCs/>
                <w:iCs/>
              </w:rPr>
            </w:pPr>
            <w:r w:rsidRPr="00A01C15">
              <w:rPr>
                <w:bCs/>
                <w:iCs/>
              </w:rPr>
              <w:t>Data Exchange Assessment: Analyze the requirements for data exchange over the existing enterprise service bus (ESB) between (1) the NSW lakehouse, (2) other existing government systems. The assessment should also consider RGoB overall data sharing requirements including the upcoming implementation of GovStack building blocks. The assessment must focus on security, latency, and API-driven interoperability, data variables, as well as query performance strategy and identification of high</w:t>
            </w:r>
            <w:r w:rsidRPr="00A01C15">
              <w:rPr>
                <w:bCs/>
                <w:iCs/>
              </w:rPr>
              <w:noBreakHyphen/>
              <w:t>latency data retrieval patterns.</w:t>
            </w:r>
          </w:p>
          <w:p w14:paraId="4EDB0473" w14:textId="77777777" w:rsidR="00A01C15" w:rsidRPr="00A01C15" w:rsidRDefault="00A01C15" w:rsidP="00A01C15">
            <w:pPr>
              <w:jc w:val="both"/>
              <w:rPr>
                <w:bCs/>
                <w:iCs/>
              </w:rPr>
            </w:pPr>
          </w:p>
        </w:tc>
        <w:tc>
          <w:tcPr>
            <w:tcW w:w="1890" w:type="dxa"/>
            <w:tcBorders>
              <w:top w:val="single" w:sz="6" w:space="0" w:color="000000"/>
              <w:left w:val="single" w:sz="6" w:space="0" w:color="000000"/>
              <w:bottom w:val="single" w:sz="6" w:space="0" w:color="000000"/>
              <w:right w:val="single" w:sz="6" w:space="0" w:color="000000"/>
            </w:tcBorders>
            <w:hideMark/>
          </w:tcPr>
          <w:p w14:paraId="43468A37" w14:textId="77777777" w:rsidR="00A01C15" w:rsidRPr="00A01C15" w:rsidRDefault="00A01C15" w:rsidP="00A01C15">
            <w:pPr>
              <w:jc w:val="both"/>
              <w:rPr>
                <w:bCs/>
                <w:iCs/>
              </w:rPr>
            </w:pPr>
            <w:r w:rsidRPr="00A01C15">
              <w:rPr>
                <w:bCs/>
                <w:iCs/>
              </w:rPr>
              <w:lastRenderedPageBreak/>
              <w:t>Contract Signature + 4 weeks</w:t>
            </w:r>
          </w:p>
        </w:tc>
      </w:tr>
      <w:tr w:rsidR="00A01C15" w:rsidRPr="00A01C15" w14:paraId="37FCEE2F" w14:textId="77777777" w:rsidTr="00A01C15">
        <w:tc>
          <w:tcPr>
            <w:tcW w:w="116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760FF5A4" w14:textId="77777777" w:rsidR="00A01C15" w:rsidRPr="00A01C15" w:rsidRDefault="00A01C15" w:rsidP="00A01C15">
            <w:pPr>
              <w:jc w:val="both"/>
              <w:rPr>
                <w:bCs/>
                <w:iCs/>
              </w:rPr>
            </w:pPr>
            <w:r w:rsidRPr="00A01C15">
              <w:rPr>
                <w:bCs/>
                <w:iCs/>
              </w:rPr>
              <w:t>2</w:t>
            </w:r>
          </w:p>
        </w:tc>
        <w:tc>
          <w:tcPr>
            <w:tcW w:w="495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D4F7B87" w14:textId="77777777" w:rsidR="00A01C15" w:rsidRPr="00A01C15" w:rsidRDefault="00A01C15" w:rsidP="00A01C15">
            <w:pPr>
              <w:jc w:val="both"/>
              <w:rPr>
                <w:bCs/>
                <w:iCs/>
              </w:rPr>
            </w:pPr>
            <w:r w:rsidRPr="00A01C15">
              <w:rPr>
                <w:bCs/>
                <w:iCs/>
              </w:rPr>
              <w:t>Core Architecture Design</w:t>
            </w:r>
          </w:p>
          <w:p w14:paraId="4D42DA0F" w14:textId="77777777" w:rsidR="00A01C15" w:rsidRPr="00A01C15" w:rsidRDefault="00A01C15" w:rsidP="00A01C15">
            <w:pPr>
              <w:numPr>
                <w:ilvl w:val="0"/>
                <w:numId w:val="17"/>
              </w:numPr>
              <w:jc w:val="both"/>
              <w:rPr>
                <w:bCs/>
                <w:iCs/>
              </w:rPr>
            </w:pPr>
            <w:r w:rsidRPr="00A01C15">
              <w:rPr>
                <w:bCs/>
                <w:iCs/>
              </w:rPr>
              <w:t xml:space="preserve">Architectural Blueprint: A fully specified, implementation-ready design. </w:t>
            </w:r>
            <w:r w:rsidRPr="00A01C15">
              <w:rPr>
                <w:bCs/>
                <w:iCs/>
              </w:rPr>
              <w:lastRenderedPageBreak/>
              <w:t>This should leverage sizing done by a data center procured by the client.</w:t>
            </w:r>
          </w:p>
          <w:p w14:paraId="18B4607F" w14:textId="77777777" w:rsidR="00A01C15" w:rsidRPr="00A01C15" w:rsidRDefault="00A01C15" w:rsidP="00A01C15">
            <w:pPr>
              <w:numPr>
                <w:ilvl w:val="0"/>
                <w:numId w:val="17"/>
              </w:numPr>
              <w:jc w:val="both"/>
              <w:rPr>
                <w:bCs/>
                <w:iCs/>
              </w:rPr>
            </w:pPr>
            <w:r w:rsidRPr="00A01C15">
              <w:rPr>
                <w:bCs/>
                <w:iCs/>
              </w:rPr>
              <w:t>Design logical &amp; physical diagrams: storage layers (Bronze/Silver/Gold), ingestion patterns (batch, streaming, API), processing engines.</w:t>
            </w:r>
          </w:p>
          <w:p w14:paraId="5AE6A2F4" w14:textId="77777777" w:rsidR="00A01C15" w:rsidRPr="00A01C15" w:rsidRDefault="00A01C15" w:rsidP="00A01C15">
            <w:pPr>
              <w:numPr>
                <w:ilvl w:val="0"/>
                <w:numId w:val="17"/>
              </w:numPr>
              <w:jc w:val="both"/>
              <w:rPr>
                <w:bCs/>
                <w:iCs/>
              </w:rPr>
            </w:pPr>
            <w:r w:rsidRPr="00A01C15">
              <w:rPr>
                <w:bCs/>
                <w:iCs/>
              </w:rPr>
              <w:t>Technology Justification: Formal recommendation &amp; justification for the technology stack (FOSS vs. commercial; on-premise vs. hybrid cloud) based on TCO, performance, security, maintainability.</w:t>
            </w:r>
          </w:p>
          <w:p w14:paraId="5D065B08" w14:textId="77777777" w:rsidR="00A01C15" w:rsidRPr="00A01C15" w:rsidRDefault="00A01C15" w:rsidP="00A01C15">
            <w:pPr>
              <w:jc w:val="both"/>
              <w:rPr>
                <w:bCs/>
                <w:iCs/>
              </w:rPr>
            </w:pPr>
          </w:p>
        </w:tc>
        <w:tc>
          <w:tcPr>
            <w:tcW w:w="1890" w:type="dxa"/>
            <w:tcBorders>
              <w:top w:val="single" w:sz="6" w:space="0" w:color="000000"/>
              <w:left w:val="single" w:sz="6" w:space="0" w:color="000000"/>
              <w:bottom w:val="single" w:sz="6" w:space="0" w:color="000000"/>
              <w:right w:val="single" w:sz="6" w:space="0" w:color="000000"/>
            </w:tcBorders>
            <w:hideMark/>
          </w:tcPr>
          <w:p w14:paraId="57DF2D6D" w14:textId="77777777" w:rsidR="00A01C15" w:rsidRPr="00A01C15" w:rsidRDefault="00A01C15" w:rsidP="00A01C15">
            <w:pPr>
              <w:jc w:val="both"/>
              <w:rPr>
                <w:bCs/>
                <w:iCs/>
              </w:rPr>
            </w:pPr>
            <w:r w:rsidRPr="00A01C15">
              <w:rPr>
                <w:bCs/>
                <w:iCs/>
              </w:rPr>
              <w:lastRenderedPageBreak/>
              <w:t>Contract Signature + 12 weeks</w:t>
            </w:r>
          </w:p>
        </w:tc>
      </w:tr>
      <w:tr w:rsidR="00A01C15" w:rsidRPr="00A01C15" w14:paraId="58388521" w14:textId="77777777" w:rsidTr="00A01C15">
        <w:trPr>
          <w:trHeight w:val="3969"/>
        </w:trPr>
        <w:tc>
          <w:tcPr>
            <w:tcW w:w="1162" w:type="dxa"/>
            <w:tcBorders>
              <w:top w:val="single" w:sz="6" w:space="0" w:color="000000"/>
              <w:left w:val="single" w:sz="6" w:space="0" w:color="000000"/>
              <w:bottom w:val="single" w:sz="4" w:space="0" w:color="auto"/>
              <w:right w:val="single" w:sz="6" w:space="0" w:color="000000"/>
            </w:tcBorders>
            <w:tcMar>
              <w:top w:w="120" w:type="dxa"/>
              <w:left w:w="180" w:type="dxa"/>
              <w:bottom w:w="120" w:type="dxa"/>
              <w:right w:w="180" w:type="dxa"/>
            </w:tcMar>
            <w:vAlign w:val="center"/>
            <w:hideMark/>
          </w:tcPr>
          <w:p w14:paraId="7D4A59B6" w14:textId="77777777" w:rsidR="00A01C15" w:rsidRPr="00A01C15" w:rsidRDefault="00A01C15" w:rsidP="00A01C15">
            <w:pPr>
              <w:jc w:val="both"/>
              <w:rPr>
                <w:bCs/>
                <w:iCs/>
              </w:rPr>
            </w:pPr>
            <w:r w:rsidRPr="00A01C15">
              <w:rPr>
                <w:bCs/>
                <w:iCs/>
              </w:rPr>
              <w:t>3</w:t>
            </w:r>
          </w:p>
        </w:tc>
        <w:tc>
          <w:tcPr>
            <w:tcW w:w="4950" w:type="dxa"/>
            <w:tcBorders>
              <w:top w:val="single" w:sz="6" w:space="0" w:color="000000"/>
              <w:left w:val="single" w:sz="6" w:space="0" w:color="000000"/>
              <w:bottom w:val="single" w:sz="4" w:space="0" w:color="auto"/>
              <w:right w:val="single" w:sz="6" w:space="0" w:color="000000"/>
            </w:tcBorders>
            <w:tcMar>
              <w:top w:w="120" w:type="dxa"/>
              <w:left w:w="180" w:type="dxa"/>
              <w:bottom w:w="120" w:type="dxa"/>
              <w:right w:w="180" w:type="dxa"/>
            </w:tcMar>
            <w:vAlign w:val="center"/>
          </w:tcPr>
          <w:p w14:paraId="286096C0" w14:textId="77777777" w:rsidR="00A01C15" w:rsidRPr="00A01C15" w:rsidRDefault="00A01C15" w:rsidP="00A01C15">
            <w:pPr>
              <w:jc w:val="both"/>
              <w:rPr>
                <w:bCs/>
                <w:iCs/>
              </w:rPr>
            </w:pPr>
            <w:r w:rsidRPr="00A01C15">
              <w:rPr>
                <w:bCs/>
                <w:iCs/>
              </w:rPr>
              <w:t>Security &amp; Governance Design</w:t>
            </w:r>
          </w:p>
          <w:p w14:paraId="1C841281" w14:textId="77777777" w:rsidR="00A01C15" w:rsidRPr="00A01C15" w:rsidRDefault="00A01C15" w:rsidP="00A01C15">
            <w:pPr>
              <w:numPr>
                <w:ilvl w:val="0"/>
                <w:numId w:val="18"/>
              </w:numPr>
              <w:jc w:val="both"/>
              <w:rPr>
                <w:bCs/>
                <w:iCs/>
              </w:rPr>
            </w:pPr>
            <w:r w:rsidRPr="00A01C15">
              <w:rPr>
                <w:bCs/>
                <w:iCs/>
              </w:rPr>
              <w:t>Security Architecture: Design a multi-layered model including authentication (LDAP/AD, Kerberos), authorization (RBAC at table/column/row level, e.g., Apache Ranger), its integration with IAM (LDAP/AD, Kerberos) data protection (encryption, masking), and auditing (logging).</w:t>
            </w:r>
          </w:p>
          <w:p w14:paraId="11C68EAC" w14:textId="77777777" w:rsidR="00A01C15" w:rsidRPr="00A01C15" w:rsidRDefault="00A01C15" w:rsidP="00A01C15">
            <w:pPr>
              <w:numPr>
                <w:ilvl w:val="0"/>
                <w:numId w:val="18"/>
              </w:numPr>
              <w:jc w:val="both"/>
              <w:rPr>
                <w:bCs/>
                <w:iCs/>
              </w:rPr>
            </w:pPr>
            <w:r w:rsidRPr="00A01C15">
              <w:rPr>
                <w:bCs/>
                <w:iCs/>
              </w:rPr>
              <w:t>Data Governance: Develop a blueprint for a central catalog, lineage tracking, and metadata management and data classification.</w:t>
            </w:r>
          </w:p>
          <w:p w14:paraId="095C0B9E" w14:textId="77777777" w:rsidR="00A01C15" w:rsidRPr="00A01C15" w:rsidRDefault="00A01C15" w:rsidP="00A01C15">
            <w:pPr>
              <w:jc w:val="both"/>
              <w:rPr>
                <w:bCs/>
                <w:iCs/>
              </w:rPr>
            </w:pPr>
          </w:p>
        </w:tc>
        <w:tc>
          <w:tcPr>
            <w:tcW w:w="1890" w:type="dxa"/>
            <w:tcBorders>
              <w:top w:val="single" w:sz="6" w:space="0" w:color="000000"/>
              <w:left w:val="single" w:sz="6" w:space="0" w:color="000000"/>
              <w:bottom w:val="single" w:sz="4" w:space="0" w:color="auto"/>
              <w:right w:val="single" w:sz="6" w:space="0" w:color="000000"/>
            </w:tcBorders>
            <w:hideMark/>
          </w:tcPr>
          <w:p w14:paraId="2B36698B" w14:textId="77777777" w:rsidR="00A01C15" w:rsidRPr="00A01C15" w:rsidRDefault="00A01C15" w:rsidP="00A01C15">
            <w:pPr>
              <w:jc w:val="both"/>
              <w:rPr>
                <w:bCs/>
                <w:iCs/>
              </w:rPr>
            </w:pPr>
            <w:r w:rsidRPr="00A01C15">
              <w:rPr>
                <w:bCs/>
                <w:iCs/>
              </w:rPr>
              <w:t>Contract Signature +14 weeks</w:t>
            </w:r>
          </w:p>
        </w:tc>
      </w:tr>
      <w:tr w:rsidR="00A01C15" w:rsidRPr="00A01C15" w14:paraId="56F9656D" w14:textId="77777777" w:rsidTr="00A01C15">
        <w:trPr>
          <w:trHeight w:val="2624"/>
        </w:trPr>
        <w:tc>
          <w:tcPr>
            <w:tcW w:w="11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vAlign w:val="center"/>
          </w:tcPr>
          <w:p w14:paraId="0B583B2D" w14:textId="77777777" w:rsidR="00A01C15" w:rsidRPr="00A01C15" w:rsidRDefault="00A01C15" w:rsidP="00A01C15">
            <w:pPr>
              <w:jc w:val="both"/>
              <w:rPr>
                <w:bCs/>
                <w:iCs/>
              </w:rPr>
            </w:pPr>
            <w:r w:rsidRPr="00A01C15">
              <w:rPr>
                <w:bCs/>
                <w:iCs/>
              </w:rPr>
              <w:t>4</w:t>
            </w:r>
          </w:p>
          <w:p w14:paraId="52E2EE4F" w14:textId="77777777" w:rsidR="00A01C15" w:rsidRPr="00A01C15" w:rsidRDefault="00A01C15" w:rsidP="00A01C15">
            <w:pPr>
              <w:jc w:val="both"/>
              <w:rPr>
                <w:bCs/>
                <w:iCs/>
              </w:rPr>
            </w:pPr>
          </w:p>
          <w:p w14:paraId="66DD390B" w14:textId="77777777" w:rsidR="00A01C15" w:rsidRPr="00A01C15" w:rsidRDefault="00A01C15" w:rsidP="00A01C15">
            <w:pPr>
              <w:jc w:val="both"/>
              <w:rPr>
                <w:bCs/>
                <w:iCs/>
              </w:rPr>
            </w:pPr>
            <w:r w:rsidRPr="00A01C15">
              <w:rPr>
                <w:bCs/>
                <w:iCs/>
              </w:rPr>
              <w:t xml:space="preserve"> </w:t>
            </w:r>
          </w:p>
        </w:tc>
        <w:tc>
          <w:tcPr>
            <w:tcW w:w="4950"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vAlign w:val="center"/>
          </w:tcPr>
          <w:p w14:paraId="4FE24DDC" w14:textId="77777777" w:rsidR="00A01C15" w:rsidRPr="00A01C15" w:rsidRDefault="00A01C15" w:rsidP="00A01C15">
            <w:pPr>
              <w:jc w:val="both"/>
              <w:rPr>
                <w:bCs/>
                <w:iCs/>
              </w:rPr>
            </w:pPr>
            <w:r w:rsidRPr="00A01C15">
              <w:rPr>
                <w:bCs/>
                <w:iCs/>
              </w:rPr>
              <w:t>Implementation Planning</w:t>
            </w:r>
          </w:p>
          <w:p w14:paraId="37D1DC38" w14:textId="77777777" w:rsidR="00A01C15" w:rsidRPr="00A01C15" w:rsidRDefault="00A01C15" w:rsidP="00A01C15">
            <w:pPr>
              <w:numPr>
                <w:ilvl w:val="0"/>
                <w:numId w:val="19"/>
              </w:numPr>
              <w:jc w:val="both"/>
              <w:rPr>
                <w:bCs/>
                <w:iCs/>
              </w:rPr>
            </w:pPr>
            <w:r w:rsidRPr="00A01C15">
              <w:rPr>
                <w:bCs/>
                <w:iCs/>
              </w:rPr>
              <w:t>Implementation Roadmap: Develop a high-level phased roadmap for architecture build-out.</w:t>
            </w:r>
          </w:p>
          <w:p w14:paraId="08FA2E62" w14:textId="77777777" w:rsidR="00A01C15" w:rsidRPr="00A01C15" w:rsidRDefault="00A01C15" w:rsidP="00A01C15">
            <w:pPr>
              <w:numPr>
                <w:ilvl w:val="0"/>
                <w:numId w:val="19"/>
              </w:numPr>
              <w:jc w:val="both"/>
              <w:rPr>
                <w:bCs/>
                <w:iCs/>
              </w:rPr>
            </w:pPr>
            <w:proofErr w:type="spellStart"/>
            <w:r w:rsidRPr="00A01C15">
              <w:rPr>
                <w:bCs/>
                <w:iCs/>
              </w:rPr>
              <w:t>ToR</w:t>
            </w:r>
            <w:proofErr w:type="spellEnd"/>
            <w:r w:rsidRPr="00A01C15">
              <w:rPr>
                <w:bCs/>
                <w:iCs/>
              </w:rPr>
              <w:t xml:space="preserve"> for Implementation: Develop a detailed procurement ready </w:t>
            </w:r>
            <w:proofErr w:type="spellStart"/>
            <w:r w:rsidRPr="00A01C15">
              <w:rPr>
                <w:bCs/>
                <w:iCs/>
              </w:rPr>
              <w:t>ToR</w:t>
            </w:r>
            <w:proofErr w:type="spellEnd"/>
            <w:r w:rsidRPr="00A01C15">
              <w:rPr>
                <w:bCs/>
                <w:iCs/>
              </w:rPr>
              <w:t xml:space="preserve"> in alignment with World Bank guidelines to procure a data engineering expert or firm for hands-on implementation, testing, and operationalization. The </w:t>
            </w:r>
            <w:proofErr w:type="spellStart"/>
            <w:r w:rsidRPr="00A01C15">
              <w:rPr>
                <w:bCs/>
                <w:iCs/>
              </w:rPr>
              <w:t>ToR</w:t>
            </w:r>
            <w:proofErr w:type="spellEnd"/>
            <w:r w:rsidRPr="00A01C15">
              <w:rPr>
                <w:bCs/>
                <w:iCs/>
              </w:rPr>
              <w:t xml:space="preserve"> must have clear scope boundaries, well-defined milestones, and detailed functional/technical requirements.</w:t>
            </w:r>
          </w:p>
          <w:p w14:paraId="00D21782" w14:textId="77777777" w:rsidR="00A01C15" w:rsidRPr="00A01C15" w:rsidRDefault="00A01C15" w:rsidP="00A01C15">
            <w:pPr>
              <w:jc w:val="both"/>
              <w:rPr>
                <w:bCs/>
                <w:iCs/>
              </w:rPr>
            </w:pPr>
          </w:p>
        </w:tc>
        <w:tc>
          <w:tcPr>
            <w:tcW w:w="1890" w:type="dxa"/>
            <w:tcBorders>
              <w:top w:val="single" w:sz="4" w:space="0" w:color="auto"/>
              <w:left w:val="single" w:sz="4" w:space="0" w:color="auto"/>
              <w:bottom w:val="single" w:sz="4" w:space="0" w:color="auto"/>
              <w:right w:val="single" w:sz="4" w:space="0" w:color="auto"/>
            </w:tcBorders>
            <w:hideMark/>
          </w:tcPr>
          <w:p w14:paraId="16DC88A8" w14:textId="77777777" w:rsidR="00A01C15" w:rsidRPr="00A01C15" w:rsidRDefault="00A01C15" w:rsidP="00A01C15">
            <w:pPr>
              <w:jc w:val="both"/>
              <w:rPr>
                <w:bCs/>
                <w:iCs/>
              </w:rPr>
            </w:pPr>
            <w:r w:rsidRPr="00A01C15">
              <w:rPr>
                <w:bCs/>
                <w:iCs/>
              </w:rPr>
              <w:t>Contract Signature +20   weeks</w:t>
            </w:r>
          </w:p>
        </w:tc>
      </w:tr>
      <w:tr w:rsidR="00A01C15" w:rsidRPr="00A01C15" w14:paraId="6C75F9CB" w14:textId="77777777" w:rsidTr="00A01C15">
        <w:trPr>
          <w:trHeight w:val="2624"/>
        </w:trPr>
        <w:tc>
          <w:tcPr>
            <w:tcW w:w="11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vAlign w:val="center"/>
            <w:hideMark/>
          </w:tcPr>
          <w:p w14:paraId="38B4DDAA" w14:textId="77777777" w:rsidR="00A01C15" w:rsidRPr="00A01C15" w:rsidRDefault="00A01C15" w:rsidP="00A01C15">
            <w:pPr>
              <w:jc w:val="both"/>
              <w:rPr>
                <w:bCs/>
                <w:iCs/>
              </w:rPr>
            </w:pPr>
            <w:r w:rsidRPr="00A01C15">
              <w:rPr>
                <w:bCs/>
                <w:iCs/>
              </w:rPr>
              <w:lastRenderedPageBreak/>
              <w:t>5</w:t>
            </w:r>
          </w:p>
        </w:tc>
        <w:tc>
          <w:tcPr>
            <w:tcW w:w="4950"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vAlign w:val="center"/>
          </w:tcPr>
          <w:p w14:paraId="0DA89F26" w14:textId="77777777" w:rsidR="00A01C15" w:rsidRPr="00A01C15" w:rsidRDefault="00A01C15" w:rsidP="00A01C15">
            <w:pPr>
              <w:jc w:val="both"/>
              <w:rPr>
                <w:bCs/>
                <w:iCs/>
              </w:rPr>
            </w:pPr>
            <w:r w:rsidRPr="00A01C15">
              <w:rPr>
                <w:bCs/>
                <w:iCs/>
              </w:rPr>
              <w:t>Documentation, Reporting, and Capacity Strengthening</w:t>
            </w:r>
          </w:p>
          <w:p w14:paraId="18EE26DC" w14:textId="77777777" w:rsidR="00A01C15" w:rsidRPr="00A01C15" w:rsidRDefault="00A01C15" w:rsidP="00A01C15">
            <w:pPr>
              <w:jc w:val="both"/>
              <w:rPr>
                <w:bCs/>
                <w:iCs/>
              </w:rPr>
            </w:pPr>
            <w:r w:rsidRPr="00A01C15">
              <w:rPr>
                <w:bCs/>
                <w:iCs/>
              </w:rPr>
              <w:t>1. Prepare comprehensive technical documentation summarizing current system issues, resolutions, and best practices.</w:t>
            </w:r>
          </w:p>
          <w:p w14:paraId="0355864A" w14:textId="77777777" w:rsidR="00A01C15" w:rsidRPr="00A01C15" w:rsidRDefault="00A01C15" w:rsidP="00A01C15">
            <w:pPr>
              <w:jc w:val="both"/>
              <w:rPr>
                <w:bCs/>
                <w:iCs/>
              </w:rPr>
            </w:pPr>
            <w:r w:rsidRPr="00A01C15">
              <w:rPr>
                <w:bCs/>
                <w:iCs/>
              </w:rPr>
              <w:t>2. Develop SOPs for ongoing data         validation, reconciliation, and system maintenance.</w:t>
            </w:r>
          </w:p>
          <w:p w14:paraId="030D797D" w14:textId="77777777" w:rsidR="00A01C15" w:rsidRPr="00A01C15" w:rsidRDefault="00A01C15" w:rsidP="00A01C15">
            <w:pPr>
              <w:jc w:val="both"/>
              <w:rPr>
                <w:bCs/>
                <w:iCs/>
              </w:rPr>
            </w:pPr>
            <w:r w:rsidRPr="00A01C15">
              <w:rPr>
                <w:bCs/>
                <w:iCs/>
              </w:rPr>
              <w:t>3. Provide recommendations to enhance DSAID's institutional capacity for future system          management and integration.</w:t>
            </w:r>
          </w:p>
          <w:p w14:paraId="3C082D79" w14:textId="25FCF382" w:rsidR="00A01C15" w:rsidRPr="00A01C15" w:rsidRDefault="00A01C15" w:rsidP="00A01C15">
            <w:pPr>
              <w:jc w:val="both"/>
              <w:rPr>
                <w:bCs/>
                <w:iCs/>
              </w:rPr>
            </w:pPr>
            <w:r w:rsidRPr="00A01C15">
              <w:rPr>
                <w:bCs/>
                <w:iCs/>
              </w:rPr>
              <w:t>4. Present a consolidated final report capturing diagnostic findings.</w:t>
            </w:r>
          </w:p>
        </w:tc>
        <w:tc>
          <w:tcPr>
            <w:tcW w:w="1890" w:type="dxa"/>
            <w:tcBorders>
              <w:top w:val="single" w:sz="4" w:space="0" w:color="auto"/>
              <w:left w:val="single" w:sz="4" w:space="0" w:color="auto"/>
              <w:bottom w:val="single" w:sz="4" w:space="0" w:color="auto"/>
              <w:right w:val="single" w:sz="4" w:space="0" w:color="auto"/>
            </w:tcBorders>
            <w:hideMark/>
          </w:tcPr>
          <w:p w14:paraId="20C53F72" w14:textId="77777777" w:rsidR="00A01C15" w:rsidRPr="00A01C15" w:rsidRDefault="00A01C15" w:rsidP="00A01C15">
            <w:pPr>
              <w:jc w:val="both"/>
              <w:rPr>
                <w:bCs/>
                <w:iCs/>
              </w:rPr>
            </w:pPr>
            <w:r w:rsidRPr="00A01C15">
              <w:rPr>
                <w:bCs/>
                <w:iCs/>
              </w:rPr>
              <w:t>Contract Signature + 24 weeks</w:t>
            </w:r>
          </w:p>
        </w:tc>
      </w:tr>
      <w:bookmarkEnd w:id="5"/>
    </w:tbl>
    <w:p w14:paraId="4BE5E3E3" w14:textId="77777777" w:rsidR="00DE0792" w:rsidRPr="00A01C15" w:rsidRDefault="00DE0792" w:rsidP="00A01C15">
      <w:pPr>
        <w:numPr>
          <w:ilvl w:val="12"/>
          <w:numId w:val="0"/>
        </w:numPr>
        <w:jc w:val="both"/>
        <w:rPr>
          <w:b/>
          <w:i/>
        </w:rPr>
      </w:pPr>
    </w:p>
    <w:p w14:paraId="4D6466FD" w14:textId="77777777" w:rsidR="00DE0792" w:rsidRPr="00A01C15" w:rsidRDefault="00DE0792" w:rsidP="00A01C15">
      <w:pPr>
        <w:pStyle w:val="ListParagraph"/>
        <w:numPr>
          <w:ilvl w:val="0"/>
          <w:numId w:val="1"/>
        </w:numPr>
        <w:ind w:left="360"/>
        <w:jc w:val="both"/>
        <w:rPr>
          <w:b/>
          <w:i/>
        </w:rPr>
      </w:pPr>
      <w:r w:rsidRPr="00A01C15">
        <w:rPr>
          <w:b/>
          <w:i/>
        </w:rPr>
        <w:t>Client’s Input and Counterpart Personnel</w:t>
      </w:r>
    </w:p>
    <w:p w14:paraId="1FCFC47D" w14:textId="77777777" w:rsidR="00DE0792" w:rsidRPr="00A01C15" w:rsidRDefault="00DE0792" w:rsidP="00A01C15">
      <w:pPr>
        <w:numPr>
          <w:ilvl w:val="12"/>
          <w:numId w:val="0"/>
        </w:numPr>
        <w:ind w:left="720" w:hanging="720"/>
        <w:jc w:val="both"/>
        <w:rPr>
          <w:spacing w:val="-3"/>
        </w:rPr>
      </w:pPr>
    </w:p>
    <w:p w14:paraId="00B1BB51" w14:textId="77777777" w:rsidR="00DE0792" w:rsidRPr="00A01C15" w:rsidRDefault="00DE0792" w:rsidP="00A01C15">
      <w:pPr>
        <w:jc w:val="both"/>
      </w:pPr>
      <w:r w:rsidRPr="00A01C15">
        <w:t>The Client shall have the following responsibilities:</w:t>
      </w:r>
    </w:p>
    <w:p w14:paraId="3D6BC5FA" w14:textId="77777777" w:rsidR="00DE0792" w:rsidRPr="00A01C15" w:rsidRDefault="00DE0792" w:rsidP="00A01C15">
      <w:pPr>
        <w:jc w:val="both"/>
      </w:pPr>
    </w:p>
    <w:p w14:paraId="6A96E076" w14:textId="77777777" w:rsidR="00DE0792" w:rsidRPr="00A01C15" w:rsidRDefault="00DE0792" w:rsidP="00A01C15">
      <w:pPr>
        <w:ind w:firstLine="720"/>
        <w:jc w:val="both"/>
      </w:pPr>
      <w:r w:rsidRPr="00A01C15">
        <w:t>a.</w:t>
      </w:r>
      <w:r w:rsidRPr="00A01C15">
        <w:tab/>
        <w:t>Provide spaces for small meetings and discussions</w:t>
      </w:r>
    </w:p>
    <w:p w14:paraId="392DEF9A" w14:textId="77777777" w:rsidR="00DE0792" w:rsidRPr="00A01C15" w:rsidRDefault="00DE0792" w:rsidP="00A01C15">
      <w:pPr>
        <w:ind w:left="1440" w:hanging="720"/>
        <w:jc w:val="both"/>
      </w:pPr>
      <w:r w:rsidRPr="00A01C15">
        <w:t>b.</w:t>
      </w:r>
      <w:r w:rsidRPr="00A01C15">
        <w:tab/>
        <w:t>Communicate to relevant stakeholders, as needed, to facilitate the requirements of the consultancy to carry out its tasks</w:t>
      </w:r>
    </w:p>
    <w:p w14:paraId="324DAD87" w14:textId="77777777" w:rsidR="00DE0792" w:rsidRPr="00A01C15" w:rsidRDefault="00DE0792" w:rsidP="00A01C15">
      <w:pPr>
        <w:ind w:left="720"/>
        <w:jc w:val="both"/>
      </w:pPr>
      <w:r w:rsidRPr="00A01C15">
        <w:t>c.</w:t>
      </w:r>
      <w:r w:rsidRPr="00A01C15">
        <w:tab/>
        <w:t>Provide relevant available data and documents needed for the assignment</w:t>
      </w:r>
    </w:p>
    <w:p w14:paraId="6906F1ED" w14:textId="77777777" w:rsidR="00DE0792" w:rsidRPr="00A01C15" w:rsidRDefault="00DE0792" w:rsidP="00A01C15">
      <w:pPr>
        <w:ind w:left="1440" w:hanging="720"/>
        <w:jc w:val="both"/>
      </w:pPr>
      <w:r w:rsidRPr="00A01C15">
        <w:t>d.</w:t>
      </w:r>
      <w:r w:rsidRPr="00A01C15">
        <w:tab/>
        <w:t>Assign a professional and a contact person to facilitate communication between the consultancy and stakeholders</w:t>
      </w:r>
    </w:p>
    <w:p w14:paraId="4A7C01CA" w14:textId="77777777" w:rsidR="00DE0792" w:rsidRPr="00A01C15" w:rsidRDefault="00DE0792" w:rsidP="00A01C15">
      <w:pPr>
        <w:ind w:firstLine="720"/>
        <w:jc w:val="both"/>
      </w:pPr>
      <w:r w:rsidRPr="00A01C15">
        <w:t>e.</w:t>
      </w:r>
      <w:r w:rsidRPr="00A01C15">
        <w:tab/>
        <w:t xml:space="preserve">Assign professionals to work with the consultancy on knowledge </w:t>
      </w:r>
      <w:bookmarkEnd w:id="6"/>
      <w:r w:rsidRPr="00A01C15">
        <w:t>transfer</w:t>
      </w:r>
    </w:p>
    <w:p w14:paraId="0A8E55CD" w14:textId="77777777" w:rsidR="00083DAF" w:rsidRPr="00A01C15" w:rsidRDefault="00083DAF" w:rsidP="00A01C15">
      <w:pPr>
        <w:jc w:val="both"/>
      </w:pPr>
    </w:p>
    <w:p w14:paraId="14BBFBC2" w14:textId="77777777" w:rsidR="007165EC" w:rsidRPr="00A01C15" w:rsidRDefault="007165EC" w:rsidP="00A01C15">
      <w:pPr>
        <w:jc w:val="both"/>
        <w:rPr>
          <w:strike/>
          <w:color w:val="000000" w:themeColor="text1"/>
        </w:rPr>
      </w:pPr>
    </w:p>
    <w:p w14:paraId="28875BF7" w14:textId="33D14E96" w:rsidR="00DE0792" w:rsidRPr="00A01C15" w:rsidRDefault="007165EC" w:rsidP="00A01C15">
      <w:pPr>
        <w:jc w:val="both"/>
        <w:rPr>
          <w:color w:val="000000" w:themeColor="text1"/>
        </w:rPr>
      </w:pPr>
      <w:r w:rsidRPr="00A01C15">
        <w:rPr>
          <w:color w:val="000000" w:themeColor="text1"/>
        </w:rPr>
        <w:t>Annex A may be incomplete at the time of contract signing. Where information such as system purpose, ownership, interface type, refresh frequency, approximate volume, sensitivity classification, or known constraints is unavailable or pending for any source, GovTech shall provide the best available information then held. During the engagement, the Firm shall validate, refine, and progressively complete Annex A by reviewing available documentation and conducting stakeholder consultations. It shall submit an updated Annex A for GovTech approval.</w:t>
      </w:r>
    </w:p>
    <w:p w14:paraId="7FC0A528" w14:textId="7A52595A" w:rsidR="00A01C15" w:rsidRPr="00A01C15" w:rsidRDefault="00A01C15" w:rsidP="00A01C15">
      <w:pPr>
        <w:jc w:val="both"/>
        <w:rPr>
          <w:color w:val="000000" w:themeColor="text1"/>
        </w:rPr>
      </w:pPr>
    </w:p>
    <w:p w14:paraId="1DFB1F99" w14:textId="77777777" w:rsidR="00A01C15" w:rsidRPr="00A01C15" w:rsidRDefault="00A01C15" w:rsidP="00A01C15">
      <w:pPr>
        <w:pStyle w:val="ListParagraph"/>
        <w:numPr>
          <w:ilvl w:val="0"/>
          <w:numId w:val="1"/>
        </w:numPr>
        <w:spacing w:line="360" w:lineRule="auto"/>
        <w:ind w:left="360"/>
        <w:jc w:val="both"/>
        <w:rPr>
          <w:b/>
          <w:i/>
        </w:rPr>
      </w:pPr>
      <w:r w:rsidRPr="00A01C15">
        <w:rPr>
          <w:b/>
          <w:i/>
        </w:rPr>
        <w:t>Duration of the Assignment</w:t>
      </w:r>
    </w:p>
    <w:p w14:paraId="45F7E448" w14:textId="77777777" w:rsidR="00A01C15" w:rsidRPr="00A01C15" w:rsidRDefault="00A01C15" w:rsidP="00A01C15">
      <w:pPr>
        <w:spacing w:line="360" w:lineRule="auto"/>
        <w:jc w:val="both"/>
      </w:pPr>
      <w:r w:rsidRPr="00A01C15">
        <w:t>The assignment is expected to take 24 weeks from the commencement date.</w:t>
      </w:r>
    </w:p>
    <w:p w14:paraId="51FD84BB" w14:textId="77777777" w:rsidR="00A01C15" w:rsidRPr="00A01C15" w:rsidRDefault="00A01C15" w:rsidP="00A01C15">
      <w:pPr>
        <w:spacing w:line="360" w:lineRule="auto"/>
        <w:jc w:val="both"/>
      </w:pPr>
    </w:p>
    <w:p w14:paraId="05D9ED54" w14:textId="77777777" w:rsidR="00A01C15" w:rsidRPr="00A01C15" w:rsidRDefault="00A01C15" w:rsidP="00A01C15">
      <w:pPr>
        <w:pStyle w:val="ListParagraph"/>
        <w:numPr>
          <w:ilvl w:val="0"/>
          <w:numId w:val="1"/>
        </w:numPr>
        <w:spacing w:line="360" w:lineRule="auto"/>
        <w:ind w:left="360"/>
        <w:jc w:val="both"/>
        <w:rPr>
          <w:b/>
          <w:i/>
        </w:rPr>
      </w:pPr>
      <w:r w:rsidRPr="00A01C15">
        <w:rPr>
          <w:b/>
          <w:i/>
        </w:rPr>
        <w:t>Selection Procedure</w:t>
      </w:r>
    </w:p>
    <w:p w14:paraId="14725881" w14:textId="77777777" w:rsidR="00A01C15" w:rsidRPr="00A01C15" w:rsidRDefault="00A01C15" w:rsidP="00A01C15">
      <w:pPr>
        <w:spacing w:line="360" w:lineRule="auto"/>
        <w:jc w:val="both"/>
        <w:rPr>
          <w:b/>
          <w:i/>
        </w:rPr>
      </w:pPr>
      <w:r w:rsidRPr="00A01C15">
        <w:lastRenderedPageBreak/>
        <w:t>The Consultant will be selected following the Consultant’s Qualification Selection (CQS) method as set forth in the World Bank Procurement Regulations for IPF Borrowers, September 2023.</w:t>
      </w:r>
    </w:p>
    <w:p w14:paraId="443AC743" w14:textId="77777777" w:rsidR="00A01C15" w:rsidRPr="00A01C15" w:rsidRDefault="00A01C15" w:rsidP="00A01C15">
      <w:pPr>
        <w:jc w:val="both"/>
        <w:rPr>
          <w:color w:val="000000" w:themeColor="text1"/>
        </w:rPr>
      </w:pPr>
    </w:p>
    <w:p w14:paraId="70A7AF85" w14:textId="77777777" w:rsidR="00FE5351" w:rsidRPr="00A01C15" w:rsidRDefault="00FE5351" w:rsidP="00A01C15">
      <w:pPr>
        <w:jc w:val="both"/>
        <w:rPr>
          <w:color w:val="000000" w:themeColor="text1"/>
        </w:rPr>
      </w:pPr>
    </w:p>
    <w:p w14:paraId="55FEB9CE" w14:textId="007A58A7" w:rsidR="00DE0792" w:rsidRPr="00A01C15" w:rsidRDefault="00DE0792" w:rsidP="00A01C15">
      <w:pPr>
        <w:jc w:val="both"/>
        <w:rPr>
          <w:color w:val="000000" w:themeColor="text1"/>
        </w:rPr>
      </w:pPr>
      <w:r w:rsidRPr="00A01C15">
        <w:rPr>
          <w:color w:val="000000" w:themeColor="text1"/>
        </w:rPr>
        <w:t>Annexure 1: Data sources inventory</w:t>
      </w:r>
    </w:p>
    <w:p w14:paraId="282AF10C" w14:textId="77777777" w:rsidR="00DE0792" w:rsidRPr="00A01C15" w:rsidRDefault="00DE0792" w:rsidP="00A01C15">
      <w:pPr>
        <w:jc w:val="both"/>
        <w:rPr>
          <w:color w:val="000000" w:themeColor="text1"/>
        </w:rPr>
      </w:pPr>
    </w:p>
    <w:tbl>
      <w:tblPr>
        <w:tblW w:w="9935" w:type="dxa"/>
        <w:tblInd w:w="-38" w:type="dxa"/>
        <w:tblLayout w:type="fixed"/>
        <w:tblLook w:val="0000" w:firstRow="0" w:lastRow="0" w:firstColumn="0" w:lastColumn="0" w:noHBand="0" w:noVBand="0"/>
      </w:tblPr>
      <w:tblGrid>
        <w:gridCol w:w="6420"/>
        <w:gridCol w:w="3515"/>
      </w:tblGrid>
      <w:tr w:rsidR="00DE0792" w:rsidRPr="00A01C15" w14:paraId="3EB4211B"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shd w:val="solid" w:color="C0C0C0" w:fill="auto"/>
          </w:tcPr>
          <w:p w14:paraId="126E31B4" w14:textId="77777777" w:rsidR="00DE0792" w:rsidRPr="00A01C15" w:rsidRDefault="00DE0792" w:rsidP="00A01C15">
            <w:pPr>
              <w:autoSpaceDE w:val="0"/>
              <w:autoSpaceDN w:val="0"/>
              <w:adjustRightInd w:val="0"/>
              <w:jc w:val="both"/>
              <w:rPr>
                <w:rFonts w:eastAsiaTheme="minorHAnsi"/>
                <w:b/>
                <w:bCs/>
                <w:i/>
                <w:iCs/>
                <w:color w:val="000000"/>
                <w14:ligatures w14:val="standardContextual"/>
              </w:rPr>
            </w:pPr>
            <w:r w:rsidRPr="00A01C15">
              <w:rPr>
                <w:rFonts w:eastAsiaTheme="minorHAnsi"/>
                <w:b/>
                <w:bCs/>
                <w:i/>
                <w:iCs/>
                <w:color w:val="000000"/>
                <w14:ligatures w14:val="standardContextual"/>
              </w:rPr>
              <w:t>Agency</w:t>
            </w:r>
          </w:p>
        </w:tc>
        <w:tc>
          <w:tcPr>
            <w:tcW w:w="3515" w:type="dxa"/>
            <w:tcBorders>
              <w:top w:val="single" w:sz="6" w:space="0" w:color="auto"/>
              <w:left w:val="single" w:sz="6" w:space="0" w:color="auto"/>
              <w:bottom w:val="single" w:sz="6" w:space="0" w:color="auto"/>
              <w:right w:val="single" w:sz="6" w:space="0" w:color="auto"/>
            </w:tcBorders>
            <w:shd w:val="solid" w:color="C0C0C0" w:fill="auto"/>
          </w:tcPr>
          <w:p w14:paraId="28757FCA" w14:textId="77777777" w:rsidR="00DE0792" w:rsidRPr="00A01C15" w:rsidRDefault="00DE0792" w:rsidP="00A01C15">
            <w:pPr>
              <w:autoSpaceDE w:val="0"/>
              <w:autoSpaceDN w:val="0"/>
              <w:adjustRightInd w:val="0"/>
              <w:jc w:val="both"/>
              <w:rPr>
                <w:rFonts w:eastAsiaTheme="minorHAnsi"/>
                <w:b/>
                <w:bCs/>
                <w:i/>
                <w:iCs/>
                <w:color w:val="000000"/>
                <w14:ligatures w14:val="standardContextual"/>
              </w:rPr>
            </w:pPr>
            <w:r w:rsidRPr="00A01C15">
              <w:rPr>
                <w:rFonts w:eastAsiaTheme="minorHAnsi"/>
                <w:b/>
                <w:bCs/>
                <w:i/>
                <w:iCs/>
                <w:color w:val="000000"/>
                <w14:ligatures w14:val="standardContextual"/>
              </w:rPr>
              <w:t>System</w:t>
            </w:r>
          </w:p>
        </w:tc>
      </w:tr>
      <w:tr w:rsidR="00DE0792" w:rsidRPr="00A01C15" w14:paraId="72A79517"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shd w:val="solid" w:color="FFFFFF" w:fill="auto"/>
          </w:tcPr>
          <w:p w14:paraId="1F66CF8B"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Bhutan Civil Aviation Authority (BCCA)</w:t>
            </w:r>
          </w:p>
        </w:tc>
        <w:tc>
          <w:tcPr>
            <w:tcW w:w="3515" w:type="dxa"/>
            <w:tcBorders>
              <w:top w:val="single" w:sz="6" w:space="0" w:color="auto"/>
              <w:left w:val="single" w:sz="6" w:space="0" w:color="auto"/>
              <w:bottom w:val="single" w:sz="6" w:space="0" w:color="auto"/>
              <w:right w:val="single" w:sz="6" w:space="0" w:color="auto"/>
            </w:tcBorders>
          </w:tcPr>
          <w:p w14:paraId="4634CCF4"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1307EB6A"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220F7524"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Bhutan Food and Drug Authority (BFDA)</w:t>
            </w:r>
          </w:p>
        </w:tc>
        <w:tc>
          <w:tcPr>
            <w:tcW w:w="3515" w:type="dxa"/>
            <w:tcBorders>
              <w:top w:val="single" w:sz="6" w:space="0" w:color="auto"/>
              <w:left w:val="single" w:sz="6" w:space="0" w:color="auto"/>
              <w:bottom w:val="single" w:sz="6" w:space="0" w:color="auto"/>
              <w:right w:val="single" w:sz="6" w:space="0" w:color="auto"/>
            </w:tcBorders>
          </w:tcPr>
          <w:p w14:paraId="460D9B34" w14:textId="77777777" w:rsidR="00DE0792" w:rsidRPr="00A01C15" w:rsidRDefault="00DE0792" w:rsidP="00A01C15">
            <w:pPr>
              <w:autoSpaceDE w:val="0"/>
              <w:autoSpaceDN w:val="0"/>
              <w:adjustRightInd w:val="0"/>
              <w:jc w:val="both"/>
              <w:rPr>
                <w:rFonts w:eastAsiaTheme="minorHAnsi"/>
                <w:color w:val="000000"/>
                <w14:ligatures w14:val="standardContextual"/>
              </w:rPr>
            </w:pPr>
          </w:p>
        </w:tc>
      </w:tr>
      <w:tr w:rsidR="00DE0792" w:rsidRPr="00A01C15" w14:paraId="24C94FBF"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31DF0CF6" w14:textId="572F05AD"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Controlled Substances and Medical Device Division (CSMDD)</w:t>
            </w:r>
            <w:r w:rsidR="00E1296C" w:rsidRPr="00A01C15">
              <w:rPr>
                <w:rFonts w:eastAsiaTheme="minorHAnsi"/>
                <w:color w:val="000000"/>
                <w14:ligatures w14:val="standardContextual"/>
              </w:rPr>
              <w:t xml:space="preserve"> / Medical Product Division</w:t>
            </w:r>
          </w:p>
        </w:tc>
        <w:tc>
          <w:tcPr>
            <w:tcW w:w="3515" w:type="dxa"/>
            <w:tcBorders>
              <w:top w:val="single" w:sz="6" w:space="0" w:color="auto"/>
              <w:left w:val="single" w:sz="6" w:space="0" w:color="auto"/>
              <w:bottom w:val="single" w:sz="6" w:space="0" w:color="auto"/>
              <w:right w:val="single" w:sz="6" w:space="0" w:color="auto"/>
            </w:tcBorders>
            <w:shd w:val="solid" w:color="FFFFFF" w:fill="auto"/>
          </w:tcPr>
          <w:p w14:paraId="55010FD5"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Drug RIMS</w:t>
            </w:r>
          </w:p>
        </w:tc>
      </w:tr>
      <w:tr w:rsidR="00DE0792" w:rsidRPr="00A01C15" w14:paraId="43C9745D"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5A052568"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Bhutan Agriculture and Food Regulatory Authority (BAFRA)</w:t>
            </w:r>
          </w:p>
        </w:tc>
        <w:tc>
          <w:tcPr>
            <w:tcW w:w="3515" w:type="dxa"/>
            <w:tcBorders>
              <w:top w:val="single" w:sz="6" w:space="0" w:color="auto"/>
              <w:left w:val="single" w:sz="6" w:space="0" w:color="auto"/>
              <w:bottom w:val="single" w:sz="6" w:space="0" w:color="auto"/>
              <w:right w:val="single" w:sz="6" w:space="0" w:color="auto"/>
            </w:tcBorders>
          </w:tcPr>
          <w:p w14:paraId="1278EA84"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BBFSS</w:t>
            </w:r>
          </w:p>
        </w:tc>
      </w:tr>
      <w:tr w:rsidR="00DE0792" w:rsidRPr="00A01C15" w14:paraId="14073F31"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1C052BEE"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Bhutan Information, Communication and Media Authority (BICMA)</w:t>
            </w:r>
          </w:p>
        </w:tc>
        <w:tc>
          <w:tcPr>
            <w:tcW w:w="3515" w:type="dxa"/>
            <w:tcBorders>
              <w:top w:val="single" w:sz="6" w:space="0" w:color="auto"/>
              <w:left w:val="single" w:sz="6" w:space="0" w:color="auto"/>
              <w:bottom w:val="single" w:sz="6" w:space="0" w:color="auto"/>
              <w:right w:val="single" w:sz="6" w:space="0" w:color="auto"/>
            </w:tcBorders>
          </w:tcPr>
          <w:p w14:paraId="0D731C09"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33B680D8"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750FFDEF"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Culture and Dzongkhag Development</w:t>
            </w:r>
          </w:p>
        </w:tc>
        <w:tc>
          <w:tcPr>
            <w:tcW w:w="3515" w:type="dxa"/>
            <w:tcBorders>
              <w:top w:val="single" w:sz="6" w:space="0" w:color="auto"/>
              <w:left w:val="single" w:sz="6" w:space="0" w:color="auto"/>
              <w:bottom w:val="single" w:sz="6" w:space="0" w:color="auto"/>
              <w:right w:val="single" w:sz="6" w:space="0" w:color="auto"/>
            </w:tcBorders>
          </w:tcPr>
          <w:p w14:paraId="018DB071"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NEPS</w:t>
            </w:r>
          </w:p>
        </w:tc>
      </w:tr>
      <w:tr w:rsidR="00DE0792" w:rsidRPr="00A01C15" w14:paraId="0BDBDCA6"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7B79B53C"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Environment and Climate Change</w:t>
            </w:r>
          </w:p>
        </w:tc>
        <w:tc>
          <w:tcPr>
            <w:tcW w:w="3515" w:type="dxa"/>
            <w:tcBorders>
              <w:top w:val="single" w:sz="6" w:space="0" w:color="auto"/>
              <w:left w:val="single" w:sz="6" w:space="0" w:color="auto"/>
              <w:bottom w:val="single" w:sz="6" w:space="0" w:color="auto"/>
              <w:right w:val="single" w:sz="6" w:space="0" w:color="auto"/>
            </w:tcBorders>
          </w:tcPr>
          <w:p w14:paraId="072AB12E"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0B1A7E6D"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0CAC82DB"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Forest and Park Services</w:t>
            </w:r>
          </w:p>
        </w:tc>
        <w:tc>
          <w:tcPr>
            <w:tcW w:w="3515" w:type="dxa"/>
            <w:tcBorders>
              <w:top w:val="single" w:sz="6" w:space="0" w:color="auto"/>
              <w:left w:val="single" w:sz="6" w:space="0" w:color="auto"/>
              <w:bottom w:val="single" w:sz="6" w:space="0" w:color="auto"/>
              <w:right w:val="single" w:sz="6" w:space="0" w:color="auto"/>
            </w:tcBorders>
          </w:tcPr>
          <w:p w14:paraId="5124C806"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OFS</w:t>
            </w:r>
          </w:p>
        </w:tc>
      </w:tr>
      <w:tr w:rsidR="00DE0792" w:rsidRPr="00A01C15" w14:paraId="0135D854"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1270D2D3"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Geology and Mines (DGM)</w:t>
            </w:r>
          </w:p>
        </w:tc>
        <w:tc>
          <w:tcPr>
            <w:tcW w:w="3515" w:type="dxa"/>
            <w:tcBorders>
              <w:top w:val="single" w:sz="6" w:space="0" w:color="auto"/>
              <w:left w:val="single" w:sz="6" w:space="0" w:color="auto"/>
              <w:bottom w:val="single" w:sz="6" w:space="0" w:color="auto"/>
              <w:right w:val="single" w:sz="6" w:space="0" w:color="auto"/>
            </w:tcBorders>
          </w:tcPr>
          <w:p w14:paraId="0D54971C"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MAS</w:t>
            </w:r>
          </w:p>
        </w:tc>
      </w:tr>
      <w:tr w:rsidR="00DE0792" w:rsidRPr="00A01C15" w14:paraId="7DC0BA6A"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09B8C91D"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Industry (DOI)</w:t>
            </w:r>
          </w:p>
        </w:tc>
        <w:tc>
          <w:tcPr>
            <w:tcW w:w="3515" w:type="dxa"/>
            <w:tcBorders>
              <w:top w:val="single" w:sz="6" w:space="0" w:color="auto"/>
              <w:left w:val="single" w:sz="6" w:space="0" w:color="auto"/>
              <w:bottom w:val="single" w:sz="6" w:space="0" w:color="auto"/>
              <w:right w:val="single" w:sz="6" w:space="0" w:color="auto"/>
            </w:tcBorders>
          </w:tcPr>
          <w:p w14:paraId="110812AA"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BNSW</w:t>
            </w:r>
          </w:p>
        </w:tc>
      </w:tr>
      <w:tr w:rsidR="00DE0792" w:rsidRPr="00A01C15" w14:paraId="7CBB5031"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65BC74F8"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Immigration</w:t>
            </w:r>
          </w:p>
        </w:tc>
        <w:tc>
          <w:tcPr>
            <w:tcW w:w="3515" w:type="dxa"/>
            <w:tcBorders>
              <w:top w:val="single" w:sz="6" w:space="0" w:color="auto"/>
              <w:left w:val="single" w:sz="6" w:space="0" w:color="auto"/>
              <w:bottom w:val="single" w:sz="6" w:space="0" w:color="auto"/>
              <w:right w:val="single" w:sz="6" w:space="0" w:color="auto"/>
            </w:tcBorders>
          </w:tcPr>
          <w:p w14:paraId="09E04B74"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BMS</w:t>
            </w:r>
          </w:p>
        </w:tc>
      </w:tr>
      <w:tr w:rsidR="00DE0792" w:rsidRPr="00A01C15" w14:paraId="0397B699"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39006AB4"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Revenue and Customs (DRC)</w:t>
            </w:r>
          </w:p>
        </w:tc>
        <w:tc>
          <w:tcPr>
            <w:tcW w:w="3515" w:type="dxa"/>
            <w:tcBorders>
              <w:top w:val="single" w:sz="6" w:space="0" w:color="auto"/>
              <w:left w:val="single" w:sz="6" w:space="0" w:color="auto"/>
              <w:bottom w:val="single" w:sz="6" w:space="0" w:color="auto"/>
              <w:right w:val="single" w:sz="6" w:space="0" w:color="auto"/>
            </w:tcBorders>
          </w:tcPr>
          <w:p w14:paraId="600A3B74" w14:textId="77777777" w:rsidR="00DE0792" w:rsidRPr="00A01C15" w:rsidRDefault="00DE0792" w:rsidP="00A01C15">
            <w:pPr>
              <w:autoSpaceDE w:val="0"/>
              <w:autoSpaceDN w:val="0"/>
              <w:adjustRightInd w:val="0"/>
              <w:jc w:val="both"/>
              <w:rPr>
                <w:rFonts w:eastAsiaTheme="minorHAnsi"/>
                <w:color w:val="000000"/>
                <w14:ligatures w14:val="standardContextual"/>
              </w:rPr>
            </w:pPr>
            <w:proofErr w:type="spellStart"/>
            <w:r w:rsidRPr="00A01C15">
              <w:rPr>
                <w:rFonts w:eastAsiaTheme="minorHAnsi"/>
                <w:color w:val="000000"/>
                <w14:ligatures w14:val="standardContextual"/>
              </w:rPr>
              <w:t>eCMS</w:t>
            </w:r>
            <w:proofErr w:type="spellEnd"/>
            <w:r w:rsidRPr="00A01C15">
              <w:rPr>
                <w:rFonts w:eastAsiaTheme="minorHAnsi"/>
                <w:color w:val="000000"/>
                <w14:ligatures w14:val="standardContextual"/>
              </w:rPr>
              <w:t>/BIRMS/BITS</w:t>
            </w:r>
          </w:p>
        </w:tc>
      </w:tr>
      <w:tr w:rsidR="00DE0792" w:rsidRPr="00A01C15" w14:paraId="15CD39EF"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6E44BCCF"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Law and Order</w:t>
            </w:r>
          </w:p>
        </w:tc>
        <w:tc>
          <w:tcPr>
            <w:tcW w:w="3515" w:type="dxa"/>
            <w:tcBorders>
              <w:top w:val="single" w:sz="6" w:space="0" w:color="auto"/>
              <w:left w:val="single" w:sz="6" w:space="0" w:color="auto"/>
              <w:bottom w:val="single" w:sz="6" w:space="0" w:color="auto"/>
              <w:right w:val="single" w:sz="6" w:space="0" w:color="auto"/>
            </w:tcBorders>
          </w:tcPr>
          <w:p w14:paraId="5E0C3800"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1E8602C7"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7D3448CF"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Trade (DOT)</w:t>
            </w:r>
          </w:p>
        </w:tc>
        <w:tc>
          <w:tcPr>
            <w:tcW w:w="3515" w:type="dxa"/>
            <w:tcBorders>
              <w:top w:val="single" w:sz="6" w:space="0" w:color="auto"/>
              <w:left w:val="single" w:sz="6" w:space="0" w:color="auto"/>
              <w:bottom w:val="single" w:sz="6" w:space="0" w:color="auto"/>
              <w:right w:val="single" w:sz="6" w:space="0" w:color="auto"/>
            </w:tcBorders>
          </w:tcPr>
          <w:p w14:paraId="59DA15DF"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BNSW/IBLS</w:t>
            </w:r>
          </w:p>
        </w:tc>
      </w:tr>
      <w:tr w:rsidR="00DE0792" w:rsidRPr="00A01C15" w14:paraId="2E1BF721"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16253BF3"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Royal Monetary Authority (RMA)</w:t>
            </w:r>
          </w:p>
        </w:tc>
        <w:tc>
          <w:tcPr>
            <w:tcW w:w="3515" w:type="dxa"/>
            <w:tcBorders>
              <w:top w:val="single" w:sz="6" w:space="0" w:color="auto"/>
              <w:left w:val="single" w:sz="6" w:space="0" w:color="auto"/>
              <w:bottom w:val="single" w:sz="6" w:space="0" w:color="auto"/>
              <w:right w:val="single" w:sz="6" w:space="0" w:color="auto"/>
            </w:tcBorders>
          </w:tcPr>
          <w:p w14:paraId="2D79A0D6"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BTFN</w:t>
            </w:r>
          </w:p>
        </w:tc>
      </w:tr>
      <w:tr w:rsidR="00DE0792" w:rsidRPr="00A01C15" w14:paraId="29335629"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01E4681C" w14:textId="79D081DC"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Roy</w:t>
            </w:r>
            <w:r w:rsidR="00A26875" w:rsidRPr="00A01C15">
              <w:rPr>
                <w:rFonts w:eastAsiaTheme="minorHAnsi"/>
                <w:color w:val="000000"/>
                <w14:ligatures w14:val="standardContextual"/>
              </w:rPr>
              <w:t>a</w:t>
            </w:r>
            <w:r w:rsidRPr="00A01C15">
              <w:rPr>
                <w:rFonts w:eastAsiaTheme="minorHAnsi"/>
                <w:color w:val="000000"/>
                <w14:ligatures w14:val="standardContextual"/>
              </w:rPr>
              <w:t>l Bhutan Police</w:t>
            </w:r>
          </w:p>
        </w:tc>
        <w:tc>
          <w:tcPr>
            <w:tcW w:w="3515" w:type="dxa"/>
            <w:tcBorders>
              <w:top w:val="single" w:sz="6" w:space="0" w:color="auto"/>
              <w:left w:val="single" w:sz="6" w:space="0" w:color="auto"/>
              <w:bottom w:val="single" w:sz="6" w:space="0" w:color="auto"/>
              <w:right w:val="single" w:sz="6" w:space="0" w:color="auto"/>
            </w:tcBorders>
          </w:tcPr>
          <w:p w14:paraId="327AB9B6"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33B24C10"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317D219C"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Livestock</w:t>
            </w:r>
          </w:p>
        </w:tc>
        <w:tc>
          <w:tcPr>
            <w:tcW w:w="3515" w:type="dxa"/>
            <w:tcBorders>
              <w:top w:val="single" w:sz="6" w:space="0" w:color="auto"/>
              <w:left w:val="single" w:sz="6" w:space="0" w:color="auto"/>
              <w:bottom w:val="single" w:sz="6" w:space="0" w:color="auto"/>
              <w:right w:val="single" w:sz="6" w:space="0" w:color="auto"/>
            </w:tcBorders>
          </w:tcPr>
          <w:p w14:paraId="287F38C9"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4A14A2EB"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5A1CE1DF"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Department of Agriculture</w:t>
            </w:r>
          </w:p>
        </w:tc>
        <w:tc>
          <w:tcPr>
            <w:tcW w:w="3515" w:type="dxa"/>
            <w:tcBorders>
              <w:top w:val="single" w:sz="6" w:space="0" w:color="auto"/>
              <w:left w:val="single" w:sz="6" w:space="0" w:color="auto"/>
              <w:bottom w:val="single" w:sz="6" w:space="0" w:color="auto"/>
              <w:right w:val="single" w:sz="6" w:space="0" w:color="auto"/>
            </w:tcBorders>
          </w:tcPr>
          <w:p w14:paraId="2111FC9C"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270BA3D9"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14BAFEB2" w14:textId="77077196"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 xml:space="preserve">Department of Agriculture Marketing </w:t>
            </w:r>
            <w:r w:rsidR="00732AB5" w:rsidRPr="00A01C15">
              <w:rPr>
                <w:rFonts w:eastAsiaTheme="minorHAnsi"/>
                <w:color w:val="000000"/>
                <w14:ligatures w14:val="standardContextual"/>
              </w:rPr>
              <w:t>Cooperatives</w:t>
            </w:r>
          </w:p>
        </w:tc>
        <w:tc>
          <w:tcPr>
            <w:tcW w:w="3515" w:type="dxa"/>
            <w:tcBorders>
              <w:top w:val="single" w:sz="6" w:space="0" w:color="auto"/>
              <w:left w:val="single" w:sz="6" w:space="0" w:color="auto"/>
              <w:bottom w:val="single" w:sz="6" w:space="0" w:color="auto"/>
              <w:right w:val="single" w:sz="6" w:space="0" w:color="auto"/>
            </w:tcBorders>
          </w:tcPr>
          <w:p w14:paraId="64C9A6AA"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r w:rsidR="00DE0792" w:rsidRPr="00A01C15" w14:paraId="6FB351AB" w14:textId="77777777" w:rsidTr="002B630B">
        <w:trPr>
          <w:trHeight w:val="380"/>
        </w:trPr>
        <w:tc>
          <w:tcPr>
            <w:tcW w:w="6420" w:type="dxa"/>
            <w:tcBorders>
              <w:top w:val="single" w:sz="6" w:space="0" w:color="auto"/>
              <w:left w:val="single" w:sz="6" w:space="0" w:color="auto"/>
              <w:bottom w:val="single" w:sz="6" w:space="0" w:color="auto"/>
              <w:right w:val="single" w:sz="6" w:space="0" w:color="auto"/>
            </w:tcBorders>
          </w:tcPr>
          <w:p w14:paraId="04997861" w14:textId="7B15A44F"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 xml:space="preserve">National </w:t>
            </w:r>
            <w:r w:rsidR="00732AB5" w:rsidRPr="00A01C15">
              <w:rPr>
                <w:rFonts w:eastAsiaTheme="minorHAnsi"/>
                <w:color w:val="000000"/>
                <w14:ligatures w14:val="standardContextual"/>
              </w:rPr>
              <w:t>Biodiversity</w:t>
            </w:r>
            <w:r w:rsidRPr="00A01C15">
              <w:rPr>
                <w:rFonts w:eastAsiaTheme="minorHAnsi"/>
                <w:color w:val="000000"/>
                <w14:ligatures w14:val="standardContextual"/>
              </w:rPr>
              <w:t xml:space="preserve"> Center</w:t>
            </w:r>
          </w:p>
        </w:tc>
        <w:tc>
          <w:tcPr>
            <w:tcW w:w="3515" w:type="dxa"/>
            <w:tcBorders>
              <w:top w:val="single" w:sz="6" w:space="0" w:color="auto"/>
              <w:left w:val="single" w:sz="6" w:space="0" w:color="auto"/>
              <w:bottom w:val="single" w:sz="6" w:space="0" w:color="auto"/>
              <w:right w:val="single" w:sz="6" w:space="0" w:color="auto"/>
            </w:tcBorders>
          </w:tcPr>
          <w:p w14:paraId="0EABCBBA" w14:textId="77777777" w:rsidR="00DE0792" w:rsidRPr="00A01C15" w:rsidRDefault="00DE0792" w:rsidP="00A01C15">
            <w:pPr>
              <w:autoSpaceDE w:val="0"/>
              <w:autoSpaceDN w:val="0"/>
              <w:adjustRightInd w:val="0"/>
              <w:jc w:val="both"/>
              <w:rPr>
                <w:rFonts w:eastAsiaTheme="minorHAnsi"/>
                <w:color w:val="000000"/>
                <w14:ligatures w14:val="standardContextual"/>
              </w:rPr>
            </w:pPr>
            <w:r w:rsidRPr="00A01C15">
              <w:rPr>
                <w:rFonts w:eastAsiaTheme="minorHAnsi"/>
                <w:color w:val="000000"/>
                <w14:ligatures w14:val="standardContextual"/>
              </w:rPr>
              <w:t>PROPOSING A NEW SYSTEM</w:t>
            </w:r>
          </w:p>
        </w:tc>
      </w:tr>
    </w:tbl>
    <w:p w14:paraId="4BC79693" w14:textId="77777777" w:rsidR="005A2C1F" w:rsidRPr="00A01C15" w:rsidRDefault="005A2C1F" w:rsidP="00A01C15">
      <w:pPr>
        <w:jc w:val="both"/>
      </w:pPr>
    </w:p>
    <w:sectPr w:rsidR="005A2C1F" w:rsidRPr="00A01C15" w:rsidSect="00DE0792">
      <w:headerReference w:type="even" r:id="rId7"/>
      <w:footnotePr>
        <w:numRestart w:val="eachSect"/>
      </w:footnotePr>
      <w:pgSz w:w="12242" w:h="15842" w:code="1"/>
      <w:pgMar w:top="1440" w:right="1440" w:bottom="1440" w:left="1800" w:header="720" w:footer="72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59EA" w14:textId="77777777" w:rsidR="007A68CF" w:rsidRDefault="007A68CF">
      <w:r>
        <w:separator/>
      </w:r>
    </w:p>
  </w:endnote>
  <w:endnote w:type="continuationSeparator" w:id="0">
    <w:p w14:paraId="6D08AFDC" w14:textId="77777777" w:rsidR="007A68CF" w:rsidRDefault="007A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3F0C1" w14:textId="77777777" w:rsidR="007A68CF" w:rsidRDefault="007A68CF">
      <w:r>
        <w:separator/>
      </w:r>
    </w:p>
  </w:footnote>
  <w:footnote w:type="continuationSeparator" w:id="0">
    <w:p w14:paraId="5622C193" w14:textId="77777777" w:rsidR="007A68CF" w:rsidRDefault="007A6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C2EB" w14:textId="77777777" w:rsidR="00DE0792" w:rsidRPr="00FB5C3C" w:rsidRDefault="007A68CF" w:rsidP="00EE2572">
    <w:pPr>
      <w:pStyle w:val="Header"/>
    </w:pPr>
    <w:sdt>
      <w:sdtPr>
        <w:id w:val="529843115"/>
        <w:docPartObj>
          <w:docPartGallery w:val="Page Numbers (Top of Page)"/>
          <w:docPartUnique/>
        </w:docPartObj>
      </w:sdtPr>
      <w:sdtEndPr>
        <w:rPr>
          <w:noProof/>
        </w:rPr>
      </w:sdtEndPr>
      <w:sdtContent>
        <w:r w:rsidR="00DE0792">
          <w:t>Section 9. Notification of Intention to Award and Beneficial Ownership Forms</w:t>
        </w:r>
        <w:r w:rsidR="00DE0792">
          <w:tab/>
        </w:r>
        <w:r w:rsidR="00DE0792">
          <w:fldChar w:fldCharType="begin"/>
        </w:r>
        <w:r w:rsidR="00DE0792">
          <w:instrText xml:space="preserve"> PAGE   \* MERGEFORMAT </w:instrText>
        </w:r>
        <w:r w:rsidR="00DE0792">
          <w:fldChar w:fldCharType="separate"/>
        </w:r>
        <w:r w:rsidR="00DE0792">
          <w:rPr>
            <w:noProof/>
          </w:rPr>
          <w:t>188</w:t>
        </w:r>
        <w:r w:rsidR="00DE0792">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664"/>
    <w:multiLevelType w:val="multilevel"/>
    <w:tmpl w:val="2932ACCE"/>
    <w:lvl w:ilvl="0">
      <w:start w:val="1"/>
      <w:numFmt w:val="decimal"/>
      <w:lvlText w:val="%1."/>
      <w:lvlJc w:val="left"/>
      <w:pPr>
        <w:ind w:left="720"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FC7E22"/>
    <w:multiLevelType w:val="multilevel"/>
    <w:tmpl w:val="29005422"/>
    <w:lvl w:ilvl="0">
      <w:start w:val="1"/>
      <w:numFmt w:val="decimal"/>
      <w:lvlText w:val="%1."/>
      <w:lvlJc w:val="left"/>
      <w:pPr>
        <w:ind w:left="117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 w15:restartNumberingAfterBreak="0">
    <w:nsid w:val="18274073"/>
    <w:multiLevelType w:val="hybridMultilevel"/>
    <w:tmpl w:val="DDA6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A57E1"/>
    <w:multiLevelType w:val="hybridMultilevel"/>
    <w:tmpl w:val="2736C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BB0B55"/>
    <w:multiLevelType w:val="hybridMultilevel"/>
    <w:tmpl w:val="D36A0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2131E1"/>
    <w:multiLevelType w:val="hybridMultilevel"/>
    <w:tmpl w:val="A0A8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F54E98"/>
    <w:multiLevelType w:val="hybridMultilevel"/>
    <w:tmpl w:val="AA1441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3F0C92"/>
    <w:multiLevelType w:val="hybridMultilevel"/>
    <w:tmpl w:val="BF026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48716F"/>
    <w:multiLevelType w:val="hybridMultilevel"/>
    <w:tmpl w:val="78A4A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B14922"/>
    <w:multiLevelType w:val="hybridMultilevel"/>
    <w:tmpl w:val="D0CA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63656B"/>
    <w:multiLevelType w:val="multilevel"/>
    <w:tmpl w:val="FD8C99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D232ADF"/>
    <w:multiLevelType w:val="hybridMultilevel"/>
    <w:tmpl w:val="BC4EB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C45F34"/>
    <w:multiLevelType w:val="hybridMultilevel"/>
    <w:tmpl w:val="334AE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397E1D"/>
    <w:multiLevelType w:val="multilevel"/>
    <w:tmpl w:val="E69CA0E8"/>
    <w:lvl w:ilvl="0">
      <w:start w:val="1"/>
      <w:numFmt w:val="decimal"/>
      <w:lvlText w:val="%1."/>
      <w:lvlJc w:val="left"/>
      <w:pPr>
        <w:ind w:left="720" w:hanging="360"/>
      </w:pPr>
    </w:lvl>
    <w:lvl w:ilvl="1">
      <w:start w:val="4"/>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AC80F4C"/>
    <w:multiLevelType w:val="hybridMultilevel"/>
    <w:tmpl w:val="A2D65D2A"/>
    <w:lvl w:ilvl="0" w:tplc="82686EF2">
      <w:start w:val="1"/>
      <w:numFmt w:val="decimal"/>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4"/>
  </w:num>
  <w:num w:numId="2">
    <w:abstractNumId w:val="2"/>
  </w:num>
  <w:num w:numId="3">
    <w:abstractNumId w:val="1"/>
  </w:num>
  <w:num w:numId="4">
    <w:abstractNumId w:val="0"/>
  </w:num>
  <w:num w:numId="5">
    <w:abstractNumId w:val="10"/>
  </w:num>
  <w:num w:numId="6">
    <w:abstractNumId w:val="13"/>
  </w:num>
  <w:num w:numId="7">
    <w:abstractNumId w:val="12"/>
  </w:num>
  <w:num w:numId="8">
    <w:abstractNumId w:val="4"/>
  </w:num>
  <w:num w:numId="9">
    <w:abstractNumId w:val="9"/>
  </w:num>
  <w:num w:numId="10">
    <w:abstractNumId w:val="6"/>
  </w:num>
  <w:num w:numId="11">
    <w:abstractNumId w:val="11"/>
  </w:num>
  <w:num w:numId="12">
    <w:abstractNumId w:val="8"/>
  </w:num>
  <w:num w:numId="13">
    <w:abstractNumId w:val="7"/>
  </w:num>
  <w:num w:numId="14">
    <w:abstractNumId w:val="5"/>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oNotDisplayPageBoundarie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92"/>
    <w:rsid w:val="000250DA"/>
    <w:rsid w:val="00036369"/>
    <w:rsid w:val="00083DAF"/>
    <w:rsid w:val="00084E9C"/>
    <w:rsid w:val="000C4C55"/>
    <w:rsid w:val="000F7AA4"/>
    <w:rsid w:val="001439B0"/>
    <w:rsid w:val="00163357"/>
    <w:rsid w:val="00191936"/>
    <w:rsid w:val="001F242B"/>
    <w:rsid w:val="00233D20"/>
    <w:rsid w:val="002729F5"/>
    <w:rsid w:val="002C0650"/>
    <w:rsid w:val="00315205"/>
    <w:rsid w:val="003F564B"/>
    <w:rsid w:val="00406262"/>
    <w:rsid w:val="004A5EE7"/>
    <w:rsid w:val="004E5085"/>
    <w:rsid w:val="005A2C1F"/>
    <w:rsid w:val="005B1BB2"/>
    <w:rsid w:val="00676F9C"/>
    <w:rsid w:val="006861B6"/>
    <w:rsid w:val="006B1646"/>
    <w:rsid w:val="006B25B7"/>
    <w:rsid w:val="006E7B88"/>
    <w:rsid w:val="00703A04"/>
    <w:rsid w:val="007165EC"/>
    <w:rsid w:val="00732AB5"/>
    <w:rsid w:val="00736A68"/>
    <w:rsid w:val="007645D2"/>
    <w:rsid w:val="007A68CF"/>
    <w:rsid w:val="007B2639"/>
    <w:rsid w:val="00837542"/>
    <w:rsid w:val="00842F0D"/>
    <w:rsid w:val="00884F7F"/>
    <w:rsid w:val="00886493"/>
    <w:rsid w:val="00894E98"/>
    <w:rsid w:val="008F5E0F"/>
    <w:rsid w:val="009551E0"/>
    <w:rsid w:val="0098765F"/>
    <w:rsid w:val="00A01C15"/>
    <w:rsid w:val="00A26875"/>
    <w:rsid w:val="00A57AED"/>
    <w:rsid w:val="00A716C4"/>
    <w:rsid w:val="00A84F6C"/>
    <w:rsid w:val="00B005B5"/>
    <w:rsid w:val="00BA68BB"/>
    <w:rsid w:val="00CC3CBB"/>
    <w:rsid w:val="00CC4068"/>
    <w:rsid w:val="00CC5152"/>
    <w:rsid w:val="00DB2AEC"/>
    <w:rsid w:val="00DE0792"/>
    <w:rsid w:val="00E10229"/>
    <w:rsid w:val="00E1296C"/>
    <w:rsid w:val="00E8253A"/>
    <w:rsid w:val="00EA66A1"/>
    <w:rsid w:val="00EC7D1B"/>
    <w:rsid w:val="00EF0FA4"/>
    <w:rsid w:val="00F52C7F"/>
    <w:rsid w:val="00F8434E"/>
    <w:rsid w:val="00F930D8"/>
    <w:rsid w:val="00FE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6A43"/>
  <w15:chartTrackingRefBased/>
  <w15:docId w15:val="{8BA41A7A-38CF-4CED-84BD-F4EC7BFD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7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E0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0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07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07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07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07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7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7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7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7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7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7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7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07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0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792"/>
    <w:rPr>
      <w:rFonts w:eastAsiaTheme="majorEastAsia" w:cstheme="majorBidi"/>
      <w:color w:val="272727" w:themeColor="text1" w:themeTint="D8"/>
    </w:rPr>
  </w:style>
  <w:style w:type="paragraph" w:styleId="Title">
    <w:name w:val="Title"/>
    <w:basedOn w:val="Normal"/>
    <w:next w:val="Normal"/>
    <w:link w:val="TitleChar"/>
    <w:uiPriority w:val="10"/>
    <w:qFormat/>
    <w:rsid w:val="00DE07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792"/>
    <w:pPr>
      <w:spacing w:before="160"/>
      <w:jc w:val="center"/>
    </w:pPr>
    <w:rPr>
      <w:i/>
      <w:iCs/>
      <w:color w:val="404040" w:themeColor="text1" w:themeTint="BF"/>
    </w:rPr>
  </w:style>
  <w:style w:type="character" w:customStyle="1" w:styleId="QuoteChar">
    <w:name w:val="Quote Char"/>
    <w:basedOn w:val="DefaultParagraphFont"/>
    <w:link w:val="Quote"/>
    <w:uiPriority w:val="29"/>
    <w:rsid w:val="00DE0792"/>
    <w:rPr>
      <w:i/>
      <w:iCs/>
      <w:color w:val="404040" w:themeColor="text1" w:themeTint="BF"/>
    </w:rPr>
  </w:style>
  <w:style w:type="paragraph" w:styleId="ListParagraph">
    <w:name w:val="List Paragraph"/>
    <w:aliases w:val="Citation List,본문(내용),List Paragraph (numbered (a)),Colorful List - Accent 11,Bullets,Liste 1,Paragraphe  revu,Paragraphe de liste1,List Paragraph nowy,References,Medium Grid 1 - Accent 21,Numbered List Paragraph,ReferencesCxSpLast"/>
    <w:basedOn w:val="Normal"/>
    <w:link w:val="ListParagraphChar"/>
    <w:uiPriority w:val="34"/>
    <w:qFormat/>
    <w:rsid w:val="00DE0792"/>
    <w:pPr>
      <w:ind w:left="720"/>
      <w:contextualSpacing/>
    </w:pPr>
  </w:style>
  <w:style w:type="character" w:styleId="IntenseEmphasis">
    <w:name w:val="Intense Emphasis"/>
    <w:basedOn w:val="DefaultParagraphFont"/>
    <w:uiPriority w:val="21"/>
    <w:qFormat/>
    <w:rsid w:val="00DE0792"/>
    <w:rPr>
      <w:i/>
      <w:iCs/>
      <w:color w:val="2F5496" w:themeColor="accent1" w:themeShade="BF"/>
    </w:rPr>
  </w:style>
  <w:style w:type="paragraph" w:styleId="IntenseQuote">
    <w:name w:val="Intense Quote"/>
    <w:basedOn w:val="Normal"/>
    <w:next w:val="Normal"/>
    <w:link w:val="IntenseQuoteChar"/>
    <w:uiPriority w:val="30"/>
    <w:qFormat/>
    <w:rsid w:val="00DE0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792"/>
    <w:rPr>
      <w:i/>
      <w:iCs/>
      <w:color w:val="2F5496" w:themeColor="accent1" w:themeShade="BF"/>
    </w:rPr>
  </w:style>
  <w:style w:type="character" w:styleId="IntenseReference">
    <w:name w:val="Intense Reference"/>
    <w:basedOn w:val="DefaultParagraphFont"/>
    <w:uiPriority w:val="32"/>
    <w:qFormat/>
    <w:rsid w:val="00DE0792"/>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Bullets Char,Liste 1 Char,Paragraphe  revu Char,Paragraphe de liste1 Char,List Paragraph nowy Char,References Char"/>
    <w:basedOn w:val="DefaultParagraphFont"/>
    <w:link w:val="ListParagraph"/>
    <w:uiPriority w:val="34"/>
    <w:qFormat/>
    <w:rsid w:val="00DE0792"/>
  </w:style>
  <w:style w:type="paragraph" w:styleId="Header">
    <w:name w:val="header"/>
    <w:basedOn w:val="Normal"/>
    <w:link w:val="HeaderChar"/>
    <w:uiPriority w:val="99"/>
    <w:rsid w:val="00DE0792"/>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rsid w:val="00DE0792"/>
    <w:rPr>
      <w:rFonts w:ascii="Times New Roman" w:eastAsia="Times New Roman" w:hAnsi="Times New Roman" w:cs="Times New Roman"/>
      <w:kern w:val="0"/>
      <w:sz w:val="20"/>
      <w:szCs w:val="20"/>
      <w14:ligatures w14:val="none"/>
    </w:rPr>
  </w:style>
  <w:style w:type="paragraph" w:customStyle="1" w:styleId="HeadingSections">
    <w:name w:val="Heading Sections"/>
    <w:basedOn w:val="Heading1"/>
    <w:link w:val="HeadingSectionsChar"/>
    <w:qFormat/>
    <w:rsid w:val="00DE0792"/>
    <w:pPr>
      <w:tabs>
        <w:tab w:val="center" w:pos="4680"/>
        <w:tab w:val="left" w:pos="7960"/>
      </w:tabs>
      <w:spacing w:before="0" w:after="0"/>
      <w:jc w:val="center"/>
    </w:pPr>
    <w:rPr>
      <w:rFonts w:ascii="Times New Roman Bold" w:eastAsia="Times New Roman" w:hAnsi="Times New Roman Bold" w:cs="Times New Roman"/>
      <w:b/>
      <w:sz w:val="32"/>
      <w:szCs w:val="20"/>
    </w:rPr>
  </w:style>
  <w:style w:type="character" w:customStyle="1" w:styleId="HeadingSectionsChar">
    <w:name w:val="Heading Sections Char"/>
    <w:basedOn w:val="Heading1Char"/>
    <w:link w:val="HeadingSections"/>
    <w:rsid w:val="00DE0792"/>
    <w:rPr>
      <w:rFonts w:ascii="Times New Roman Bold" w:eastAsia="Times New Roman" w:hAnsi="Times New Roman Bold" w:cs="Times New Roman"/>
      <w:b/>
      <w:color w:val="2F5496" w:themeColor="accent1" w:themeShade="BF"/>
      <w:kern w:val="0"/>
      <w:sz w:val="32"/>
      <w:szCs w:val="20"/>
      <w14:ligatures w14:val="none"/>
    </w:rPr>
  </w:style>
  <w:style w:type="paragraph" w:customStyle="1" w:styleId="font-claude-response-body">
    <w:name w:val="font-claude-response-body"/>
    <w:basedOn w:val="Normal"/>
    <w:rsid w:val="00DE0792"/>
    <w:pPr>
      <w:spacing w:before="100" w:beforeAutospacing="1" w:after="100" w:afterAutospacing="1"/>
    </w:pPr>
  </w:style>
  <w:style w:type="character" w:styleId="CommentReference">
    <w:name w:val="annotation reference"/>
    <w:basedOn w:val="DefaultParagraphFont"/>
    <w:uiPriority w:val="99"/>
    <w:semiHidden/>
    <w:unhideWhenUsed/>
    <w:rsid w:val="005A2C1F"/>
    <w:rPr>
      <w:sz w:val="16"/>
      <w:szCs w:val="16"/>
    </w:rPr>
  </w:style>
  <w:style w:type="paragraph" w:styleId="CommentText">
    <w:name w:val="annotation text"/>
    <w:basedOn w:val="Normal"/>
    <w:link w:val="CommentTextChar"/>
    <w:uiPriority w:val="99"/>
    <w:semiHidden/>
    <w:unhideWhenUsed/>
    <w:rsid w:val="005A2C1F"/>
    <w:rPr>
      <w:sz w:val="20"/>
      <w:szCs w:val="20"/>
    </w:rPr>
  </w:style>
  <w:style w:type="character" w:customStyle="1" w:styleId="CommentTextChar">
    <w:name w:val="Comment Text Char"/>
    <w:basedOn w:val="DefaultParagraphFont"/>
    <w:link w:val="CommentText"/>
    <w:uiPriority w:val="99"/>
    <w:semiHidden/>
    <w:rsid w:val="005A2C1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C1F"/>
    <w:rPr>
      <w:b/>
      <w:bCs/>
    </w:rPr>
  </w:style>
  <w:style w:type="character" w:customStyle="1" w:styleId="CommentSubjectChar">
    <w:name w:val="Comment Subject Char"/>
    <w:basedOn w:val="CommentTextChar"/>
    <w:link w:val="CommentSubject"/>
    <w:uiPriority w:val="99"/>
    <w:semiHidden/>
    <w:rsid w:val="005A2C1F"/>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A01C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Nepal</dc:creator>
  <cp:keywords/>
  <dc:description/>
  <cp:lastModifiedBy>Jamyang Dema</cp:lastModifiedBy>
  <cp:revision>3</cp:revision>
  <dcterms:created xsi:type="dcterms:W3CDTF">2026-03-29T15:02:00Z</dcterms:created>
  <dcterms:modified xsi:type="dcterms:W3CDTF">2026-03-29T15:08:00Z</dcterms:modified>
</cp:coreProperties>
</file>